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476</w:t>
      </w:r>
    </w:p>
    <w:p>
      <w:pPr>
        <w:spacing w:before="0" w:after="0"/>
        <w:ind w:left="120"/>
        <w:jc w:val="center"/>
      </w:pPr>
      <w:r>
        <w:rPr>
          <w:rFonts w:ascii="Times New Roman" w:hAnsi="Times New Roman"/>
          <w:b w:val="false"/>
          <w:i w:val="false"/>
          <w:color w:val="000000"/>
          <w:sz w:val="21"/>
        </w:rPr>
        <w:t>BACKFLOW PREVENTION ASSEMBLY TESTER REGISTRATION</w:t>
      </w:r>
    </w:p>
    <w:p>
      <w:pPr>
        <w:spacing w:before="0" w:after="0"/>
        <w:ind w:left="120"/>
        <w:jc w:val="center"/>
      </w:pPr>
      <w:r>
        <w:rPr>
          <w:rFonts w:ascii="Times New Roman" w:hAnsi="Times New Roman"/>
          <w:b w:val="false"/>
          <w:i w:val="false"/>
          <w:color w:val="000000"/>
          <w:sz w:val="14"/>
        </w:rPr>
        <w:t>[Prior to 4/2/25, see Public Health Department[641]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481—476.1</w:t>
      </w:r>
      <w:r>
        <w:rPr>
          <w:rFonts w:ascii="Times New Roman" w:hAnsi="Times New Roman"/>
          <w:b/>
          <w:i w:val="false"/>
          <w:color w:val="000000"/>
          <w:sz w:val="22"/>
        </w:rPr>
        <w:t xml:space="preserve">(135K)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“ABPA” </w:t>
      </w:r>
      <w:r>
        <w:rPr>
          <w:rFonts w:ascii="Times New Roman" w:hAnsi="Times New Roman"/>
          <w:b w:val="false"/>
          <w:i w:val="false"/>
          <w:color w:val="000000"/>
          <w:sz w:val="22"/>
        </w:rPr>
        <w:t>means the American Backflow Prevention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means an individual, board, department, or agency employed by a city, county or other political subdivision of the state and authorized by local ordinance to administer and enforce the provisions of the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course” </w:t>
      </w:r>
      <w:r>
        <w:rPr>
          <w:rFonts w:ascii="Times New Roman" w:hAnsi="Times New Roman"/>
          <w:b w:val="false"/>
          <w:i w:val="false"/>
          <w:color w:val="000000"/>
          <w:sz w:val="22"/>
        </w:rPr>
        <w:t xml:space="preserve">means a department-approved course designed to supplement or refresh the knowledge of a registered tester and to meet the requirements of subparagraph </w:t>
      </w:r>
      <w:hyperlink r:id="rId5">
        <w:r>
          <w:rPr>
            <w:rStyle w:val="Hyperlink"/>
            <w:rFonts w:ascii="Times New Roman" w:hAnsi="Times New Roman"/>
            <w:b w:val="false"/>
            <w:i w:val="false"/>
            <w:color w:val="000000"/>
            <w:sz w:val="22"/>
          </w:rPr>
          <w:t>476.5(2)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training course” </w:t>
      </w:r>
      <w:r>
        <w:rPr>
          <w:rFonts w:ascii="Times New Roman" w:hAnsi="Times New Roman"/>
          <w:b w:val="false"/>
          <w:i w:val="false"/>
          <w:color w:val="000000"/>
          <w:sz w:val="22"/>
        </w:rPr>
        <w:t>means a department-approved course designed to train individuals to test and repair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 </w:t>
      </w:r>
      <w:r>
        <w:rPr>
          <w:rFonts w:ascii="Times New Roman" w:hAnsi="Times New Roman"/>
          <w:b w:val="false"/>
          <w:i w:val="false"/>
          <w:color w:val="000000"/>
          <w:sz w:val="22"/>
        </w:rPr>
        <w:t>means ASSE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“AWWA” </w:t>
      </w:r>
      <w:r>
        <w:rPr>
          <w:rFonts w:ascii="Times New Roman" w:hAnsi="Times New Roman"/>
          <w:b w:val="false"/>
          <w:i w:val="false"/>
          <w:color w:val="000000"/>
          <w:sz w:val="22"/>
        </w:rPr>
        <w:t>means the American Water Works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assembly,” </w:t>
      </w:r>
      <w:r>
        <w:rPr>
          <w:rFonts w:ascii="Times New Roman" w:hAnsi="Times New Roman"/>
          <w:b w:val="false"/>
          <w:i w:val="false"/>
          <w:color w:val="000000"/>
          <w:sz w:val="22"/>
        </w:rPr>
        <w:t>for the purposes of this chapter, means a device or means to prevent backflow into a potable water system for which a method of testing the device in-line has been published by the Foundation for Cross-Connection Control and Hydraulic Research at the University of Southern California or by ASSE.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assemblies are included under this definition. This is not intended to be an exclusive list. If new devices and test methods are introduced that meet the definition, they are included under the rules.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613"/>
        <w:gridCol w:w="4577"/>
      </w:tblGrid>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Backflow Prevention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Product Standards</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Valve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1015-2021, AWWA C510-07</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Detector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1048-2021</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Pressure Vacuum Breaker</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1020-2021</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Principle Backflow Preventer</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1013-2021, AWWA 511-07</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Detector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1047-2021</w:t>
            </w:r>
          </w:p>
        </w:tc>
      </w:tr>
      <w:tr>
        <w:trPr>
          <w:trHeight w:val="225" w:hRule="atLeast"/>
        </w:trPr>
        <w:tc>
          <w:tcPr>
            <w:tcW w:w="66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Spill Resistant Pressure Vacuum Breaker</w:t>
            </w:r>
          </w:p>
        </w:tc>
        <w:tc>
          <w:tcPr>
            <w:tcW w:w="4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1056-2013-R2021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certified as a backflow prevention assembly tester under the requirements of ABPA, ASSE, or another third-party certification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135K.1(3)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“Proctor” </w:t>
      </w:r>
      <w:r>
        <w:rPr>
          <w:rFonts w:ascii="Times New Roman" w:hAnsi="Times New Roman"/>
          <w:b w:val="false"/>
          <w:i w:val="false"/>
          <w:color w:val="000000"/>
          <w:sz w:val="22"/>
        </w:rPr>
        <w:t>means an individual designated by a third-party certification agency to conduct certification examinations of backflow prevention assembly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backflow prevention assembly tester”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“registered tester”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135K.1(4)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certification agency” </w:t>
      </w:r>
      <w:r>
        <w:rPr>
          <w:rFonts w:ascii="Times New Roman" w:hAnsi="Times New Roman"/>
          <w:b w:val="false"/>
          <w:i w:val="false"/>
          <w:color w:val="000000"/>
          <w:sz w:val="22"/>
        </w:rPr>
        <w:t>means ABPA, ASSE or another agency approved by the department to certify the knowledge and skills of backflow prevention assembly testers.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481—476.2</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r>
        <w:rPr>
          <w:rFonts w:ascii="Times New Roman" w:hAnsi="Times New Roman"/>
          <w:b w:val="false"/>
          <w:i w:val="false"/>
          <w:color w:val="000000"/>
          <w:sz w:val="22"/>
        </w:rPr>
        <w:t>No person shall test or repair a backflow prevention assembly unless the person is a registered backflow prevention assembly tester.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481—476.3</w:t>
      </w:r>
      <w:r>
        <w:rPr>
          <w:rFonts w:ascii="Times New Roman" w:hAnsi="Times New Roman"/>
          <w:b/>
          <w:i w:val="false"/>
          <w:color w:val="000000"/>
          <w:sz w:val="22"/>
        </w:rPr>
        <w:t xml:space="preserve">(135K)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Any person who submits a check to the department that is returned for insufficient funds will incur a $15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481—476.4</w:t>
      </w:r>
      <w:r>
        <w:rPr>
          <w:rFonts w:ascii="Times New Roman" w:hAnsi="Times New Roman"/>
          <w:b/>
          <w:i w:val="false"/>
          <w:color w:val="000000"/>
          <w:sz w:val="22"/>
        </w:rPr>
        <w:t xml:space="preserve">(135K) </w:t>
      </w:r>
      <w:r>
        <w:rPr>
          <w:rFonts w:ascii="Times New Roman" w:hAnsi="Times New Roman"/>
          <w:b/>
          <w:i w:val="false"/>
          <w:color w:val="000000"/>
          <w:sz w:val="22"/>
        </w:rPr>
        <w:t xml:space="preserve">Backflow prevention assembly 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476.4(1)</w:t>
      </w:r>
      <w:r>
        <w:rPr>
          <w:rFonts w:ascii="Times New Roman" w:hAnsi="Times New Roman"/>
          <w:b w:val="false"/>
          <w:i w:val="false"/>
          <w:color w:val="000000"/>
          <w:sz w:val="22"/>
        </w:rPr>
        <w:t> </w:t>
      </w:r>
      <w:r>
        <w:rPr>
          <w:rFonts w:ascii="Times New Roman" w:hAnsi="Times New Roman"/>
          <w:b w:val="false"/>
          <w:i/>
          <w:color w:val="000000"/>
          <w:sz w:val="22"/>
        </w:rPr>
        <w:t xml:space="preserve">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backflow prevention assembly tester training course in Iowa shall apply to the department for approval of the course at least 15 days before the first time the course is held, using an application form provided by the department and submitting a $200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organization responsible for the course content shall submit to the department any changes in the information set forth in paragraph </w:t>
      </w:r>
      <w:hyperlink r:id="rId8">
        <w:r>
          <w:rPr>
            <w:rStyle w:val="Hyperlink"/>
            <w:rFonts w:ascii="Times New Roman" w:hAnsi="Times New Roman"/>
            <w:b w:val="false"/>
            <w:i w:val="false"/>
            <w:color w:val="000000"/>
            <w:sz w:val="22"/>
          </w:rPr>
          <w:t>476.4(1)</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calendar days before the end of the fifth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course sponsor shall notify the department at least 15 days before an approved training course begins. The notification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location, including street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32 instructional hours and cover the following minimum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Backflow definitions, causes and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backflow prevention assemblies, their proper application and installation, and their operational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and operational characteristics of test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Techniques for testing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Troubleshooting of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and the responsibilities of regulatory agencies and the registered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Conclude with a written examination of at least 100 questions and a practical examination of testing techniques on all types of testable backflow prevention assemblies. The time for testing is in addition to the instructional hours. A score of at least 70 percent on the written examination and demonstration of proficiency in testing and troubleshooting procedures constitutes successful completion of the course. Approved third-party certification agency testing may be substituted for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lead course instructor shall have documentation of successfully completing an approved training course or be certified, and have at least three years of experience in cross connection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laboratory for a training course shall be equipped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each of the backflow prevention assemblies from at least three different manufacturers. If fewer than three manufacturers make a type of backflow prevention assembly, at least one example of that type of backflow prevention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one double check valve assembly and one reduced pressure principle assembly larger than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test station per three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continuing education course for registered testers in Iowa shall apply to the department for approval of the course at least 15 days before the course is scheduled to begin, using an application form provided by the department and submitted with 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course will address cross connection control theory and practice; backflow prevention devices and methods; backflow prevention assembly installation, testing, troubleshooting and repair; codes and rules affecting cross connection control; safety issues related to installation and testing of backflow prevention assemblies; or related subjects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476.4(3)</w:t>
      </w:r>
      <w:r>
        <w:rPr>
          <w:rFonts w:ascii="Times New Roman" w:hAnsi="Times New Roman"/>
          <w:b w:val="false"/>
          <w:i w:val="false"/>
          <w:color w:val="000000"/>
          <w:sz w:val="22"/>
        </w:rPr>
        <w:t> </w:t>
      </w:r>
      <w:r>
        <w:rPr>
          <w:rFonts w:ascii="Times New Roman" w:hAnsi="Times New Roman"/>
          <w:b w:val="false"/>
          <w:i/>
          <w:color w:val="000000"/>
          <w:sz w:val="22"/>
        </w:rPr>
        <w:t xml:space="preserve">Third-party certification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certification agencies seeking approval in Iowa shall submit a written request to the department, on agency letterhead and signed by an authorized representative of the agency, that includes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Agency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written examination, whether it is open- or closed-book, and information about the arrangements for administration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testing procedures that are the basis for the practical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for the practical examination and the criteria for evaluating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Proctor qualifications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and criteria for renewing the certification. The renewal of certification will be completed at least every five years and include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history of the development and implementation of the program,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other jurisdictions where the certification is allowed and regulatory contacts in those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third-party certification agency will not certify an individual who was trained by the agency. An individual proctor will not certify individuals who have taken a course at which the proctor was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certification agency shall submit to the department any changes to the information set forth in paragraph </w:t>
      </w:r>
      <w:hyperlink r:id="rId9">
        <w:r>
          <w:rPr>
            <w:rStyle w:val="Hyperlink"/>
            <w:rFonts w:ascii="Times New Roman" w:hAnsi="Times New Roman"/>
            <w:b w:val="false"/>
            <w:i w:val="false"/>
            <w:color w:val="000000"/>
            <w:sz w:val="22"/>
          </w:rPr>
          <w:t>476.4(3)</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days before the end of the fifth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481—476.5</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476.5(1)</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successfully completed an approved training course may register with the department within one year of course completion. A person who is certified may register with the department. The applicant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successful completion of an approved training course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has completed a course of training in another state may be registered in Iowa. The person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Iowa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 training course meeting the hour and subject requirements for an approved training course (if the person completed the training course more than 12 months before the date of the application, provide documentation that the person has attended an average of at least 2.5 hours of continuing education training per year since completing the course),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expires two years after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476.5(2)</w:t>
      </w:r>
      <w:r>
        <w:rPr>
          <w:rFonts w:ascii="Times New Roman" w:hAnsi="Times New Roman"/>
          <w:b w:val="false"/>
          <w:i w:val="false"/>
          <w:color w:val="000000"/>
          <w:sz w:val="22"/>
        </w:rPr>
        <w:t> </w:t>
      </w:r>
      <w:r>
        <w:rPr>
          <w:rFonts w:ascii="Times New Roman" w:hAnsi="Times New Roman"/>
          <w:b w:val="false"/>
          <w:i/>
          <w:color w:val="000000"/>
          <w:sz w:val="22"/>
        </w:rPr>
        <w:t xml:space="preserve">Renewal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testers may renew 60 days prior to registration expiration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registration renewal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registered tester has completed at least five hours of approved continuing education courses during the registration period or documentation that the registered tester is certified.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Registration renewal applications received after expiration will incur a $10 penalty per month, to a maximum $50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registration has lapsed greater than 24 months, the person applying for renewal shall demonstrate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an approved training course within the 12 months before applying for registration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does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481—476.6</w:t>
      </w:r>
      <w:r>
        <w:rPr>
          <w:rFonts w:ascii="Times New Roman" w:hAnsi="Times New Roman"/>
          <w:b/>
          <w:i w:val="false"/>
          <w:color w:val="000000"/>
          <w:sz w:val="22"/>
        </w:rPr>
        <w:t xml:space="preserve">(135K) </w:t>
      </w:r>
      <w:r>
        <w:rPr>
          <w:rFonts w:ascii="Times New Roman" w:hAnsi="Times New Roman"/>
          <w:b/>
          <w:i w:val="false"/>
          <w:color w:val="000000"/>
          <w:sz w:val="22"/>
        </w:rPr>
        <w:t xml:space="preserve">Standards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476.6(1)</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comply with these rules and any ordinances, rules and policies of the administrative authority in jurisdictions where the registered tester tests or repairs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476.6(2)</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maintain a record for each backflow prevention assembly tested for at least five years after the date on which the assembly was tested. Registered testers will complete an administrative authority’s test report form if required by ordinance. Records may be reviewed during normal business hours by an authorized representative of the department or administrative authority of the jurisdiction in which the assembly is located. The assembly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assembly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facility in which the assembly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assembly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brand, model, size, and serial number of the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assembly repairs 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476.6(3)</w:t>
      </w:r>
      <w:r>
        <w:rPr>
          <w:rFonts w:ascii="Times New Roman" w:hAnsi="Times New Roman"/>
          <w:b w:val="false"/>
          <w:i w:val="false"/>
          <w:color w:val="000000"/>
          <w:sz w:val="22"/>
        </w:rPr>
        <w:t> </w:t>
      </w:r>
      <w:r>
        <w:rPr>
          <w:rFonts w:ascii="Times New Roman" w:hAnsi="Times New Roman"/>
          <w:b w:val="false"/>
          <w:i w:val="false"/>
          <w:color w:val="000000"/>
          <w:sz w:val="22"/>
        </w:rPr>
        <w:t xml:space="preserve">To field test a backflow prevention assembly, a registered tester shall use a differential pressure gauge, the accuracy of which is verified no less than every 13 months with results traceable to the National Institute of Standards and Technology (NIST). Any differential pressure gauge with an error of more than plus or minus 0.2 psi cannot be used to test a backflow prevention assembly. Methods of testing that use other types of equipment, including dual pressure gauges, water columns, or single pressure gauges, are not acceptable. For every test report record retained in accordance with subrule </w:t>
      </w:r>
      <w:hyperlink r:id="rId10">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the prior most recent accuracy verification for the differential pressure gauge shall be retained and made available to an authorized representative of the department or administrative authority of the jurisdiction in which the assembly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481—476.7</w:t>
      </w:r>
      <w:r>
        <w:rPr>
          <w:rFonts w:ascii="Times New Roman" w:hAnsi="Times New Roman"/>
          <w:b/>
          <w:i w:val="false"/>
          <w:color w:val="000000"/>
          <w:sz w:val="22"/>
        </w:rPr>
        <w:t xml:space="preserve">(135K)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In addition to other sanctions provided herein, a person who violates a provision of this chapter is guilty of a simple misdemeanor pursuant to Iowa Code section </w:t>
      </w:r>
      <w:hyperlink r:id="rId11">
        <w:r>
          <w:rPr>
            <w:rStyle w:val="Hyperlink"/>
            <w:rFonts w:ascii="Times New Roman" w:hAnsi="Times New Roman"/>
            <w:b w:val="false"/>
            <w:i w:val="false"/>
            <w:color w:val="000000"/>
            <w:sz w:val="22"/>
          </w:rPr>
          <w:t>135K.5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481—476.8</w:t>
      </w:r>
      <w:r>
        <w:rPr>
          <w:rFonts w:ascii="Times New Roman" w:hAnsi="Times New Roman"/>
          <w:b/>
          <w:i w:val="false"/>
          <w:color w:val="000000"/>
          <w:sz w:val="22"/>
        </w:rPr>
        <w:t xml:space="preserve">(135K) </w:t>
      </w:r>
      <w:r>
        <w:rPr>
          <w:rFonts w:ascii="Times New Roman" w:hAnsi="Times New Roman"/>
          <w:b/>
          <w:i w:val="false"/>
          <w:color w:val="000000"/>
          <w:sz w:val="22"/>
        </w:rPr>
        <w:t xml:space="preserve">Denial, probation,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476.8(1)</w:t>
      </w:r>
      <w:r>
        <w:rPr>
          <w:rFonts w:ascii="Times New Roman" w:hAnsi="Times New Roman"/>
          <w:b w:val="false"/>
          <w:i w:val="false"/>
          <w:color w:val="000000"/>
          <w:sz w:val="22"/>
        </w:rPr>
        <w:t> </w:t>
      </w:r>
      <w:r>
        <w:rPr>
          <w:rFonts w:ascii="Times New Roman" w:hAnsi="Times New Roman"/>
          <w:b w:val="false"/>
          <w:i/>
          <w:color w:val="000000"/>
          <w:sz w:val="22"/>
        </w:rPr>
        <w:t xml:space="preserve">Denial, probation, suspension or revocation of registration. </w:t>
      </w:r>
      <w:r>
        <w:rPr>
          <w:rFonts w:ascii="Times New Roman" w:hAnsi="Times New Roman"/>
          <w:b w:val="false"/>
          <w:i w:val="false"/>
          <w:color w:val="000000"/>
          <w:sz w:val="22"/>
        </w:rPr>
        <w:t>The department may deny an application for registration or renewal, place a registration on probation, suspend or revoke a registration, or order a registered tester not to test or repair backflow prevention assemblies when the department finds that the applicant or registered tester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or incompetence in the testing of a backflow prevention assembly, including failure to report improper application or installation of a backflow prevention assembly to the facility owner and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a test of a backflow prevention assembly to the owner of the facility, the local administrative authority,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in obtaining registration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submitting false information on an application for registration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a false or forged certificate or other record of training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Falsification of the assembly records set forth in subrule </w:t>
      </w:r>
      <w:hyperlink r:id="rId12">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or the ordinances of an administrative authority in whose jurisdiction the registered tester tests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pay registration, renewal or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backflow prevention assembly testing, including but not limited to crimes involving dishonesty, fraud, theft,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other disciplinary action pertaining to backflow prevention assembly testing in another jurisdiction. A copy of the record or order of suspension, revocation or disciplinary action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regarding the testing of backflow prevention assemblies,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client or coworker.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as a backflow prevention assembly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backflow prevention assembly tester when one’s registration has been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training course approval. </w:t>
      </w:r>
      <w:r>
        <w:rPr>
          <w:rFonts w:ascii="Times New Roman" w:hAnsi="Times New Roman"/>
          <w:b w:val="false"/>
          <w:i w:val="false"/>
          <w:color w:val="000000"/>
          <w:sz w:val="22"/>
        </w:rPr>
        <w:t>The department may deny or revoke the approval for a training course or a continuing education course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instructor for a training course is not qualified in accordance with paragraph </w:t>
      </w:r>
      <w:hyperlink r:id="rId13">
        <w:r>
          <w:rPr>
            <w:rStyle w:val="Hyperlink"/>
            <w:rFonts w:ascii="Times New Roman" w:hAnsi="Times New Roman"/>
            <w:b w:val="false"/>
            <w:i w:val="false"/>
            <w:color w:val="000000"/>
            <w:sz w:val="22"/>
          </w:rPr>
          <w:t>476.4(1)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did not comply with paragraph </w:t>
      </w:r>
      <w:hyperlink r:id="rId14">
        <w:r>
          <w:rPr>
            <w:rStyle w:val="Hyperlink"/>
            <w:rFonts w:ascii="Times New Roman" w:hAnsi="Times New Roman"/>
            <w:b w:val="false"/>
            <w:i w:val="false"/>
            <w:color w:val="000000"/>
            <w:sz w:val="22"/>
          </w:rPr>
          <w:t>476.4(1)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testing laboratory did not comply with paragraph </w:t>
      </w:r>
      <w:hyperlink r:id="rId15">
        <w:r>
          <w:rPr>
            <w:rStyle w:val="Hyperlink"/>
            <w:rFonts w:ascii="Times New Roman" w:hAnsi="Times New Roman"/>
            <w:b w:val="false"/>
            <w:i w:val="false"/>
            <w:color w:val="000000"/>
            <w:sz w:val="22"/>
          </w:rPr>
          <w:t>476.4(1)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applying for approval of a training or continuing education course intentionally submitted false information to the department in support of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conducting or sponsoring training has falsified training or continuing education records, including issuance of a certificate or other record of training to a person who did not successfully complete a training course or who did not attend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responsible for a training or continuing education course has permitted physical or verbal abuse or sexual harassment of a student or instructor.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or person responsible for training courses and continuing education courses consistently fails to notify the department of such courses in a timely fashion as set forth in paragraphs </w:t>
      </w:r>
      <w:hyperlink r:id="rId16">
        <w:r>
          <w:rPr>
            <w:rStyle w:val="Hyperlink"/>
            <w:rFonts w:ascii="Times New Roman" w:hAnsi="Times New Roman"/>
            <w:b w:val="false"/>
            <w:i w:val="false"/>
            <w:color w:val="000000"/>
            <w:sz w:val="22"/>
          </w:rPr>
          <w:t>476.4(1)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476.4(2)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fails to pay its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approval as a third-party certification agency. </w:t>
      </w:r>
      <w:r>
        <w:rPr>
          <w:rFonts w:ascii="Times New Roman" w:hAnsi="Times New Roman"/>
          <w:b w:val="false"/>
          <w:i w:val="false"/>
          <w:color w:val="000000"/>
          <w:sz w:val="22"/>
        </w:rPr>
        <w:t>The department may deny or revoke the approval for a third-party certification agency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approval contains material misinformation regarding the conduct and standards of the certification program or its acceptance in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adhere to the standards and procedures stated in the application for approval in the process of certifying or renewing the certification of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paragraph </w:t>
      </w:r>
      <w:hyperlink r:id="rId18">
        <w:r>
          <w:rPr>
            <w:rStyle w:val="Hyperlink"/>
            <w:rFonts w:ascii="Times New Roman" w:hAnsi="Times New Roman"/>
            <w:b w:val="false"/>
            <w:i w:val="false"/>
            <w:color w:val="000000"/>
            <w:sz w:val="22"/>
          </w:rPr>
          <w:t>476.4(3)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other 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476.8(4)</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regarding a registered tester, an approved training course, or a third-party certification agency may be sent to the department. The complainant should provide as much pertinent and specific information as to a potential violation as they are able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Notice of denial, probation, suspension or revocation of registration; denial, probation or revocation of course approval; or denial, probation or revocation of third-party certification agency approval will be sent to the affected individual or organization by certified mail, return receipt requested, or by personal service. The affected individual or organization may appeal the denial, probation, suspension or revocation by requesting a contested case hearing within 20 days of receipt of the department’s order. The notice of denial, probation, suspension or revocation is deemed to be suspended during the appeal. Prior to or at the contested case hearing, the department may rescind the notice upon satisfaction that the reason for the denial, probation, suspension or revocation has been or will be removed. </w:t>
      </w:r>
      <w:hyperlink r:id="rId19">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135K</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1/15/93, Notice 11/11/92—published 2/3/93, effective 3/10/93]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8981B</w:t>
      </w:r>
      <w:r>
        <w:rPr>
          <w:rFonts w:ascii="Times New Roman" w:hAnsi="Times New Roman"/>
          <w:b w:val="false"/>
          <w:i w:val="false"/>
          <w:color w:val="000000"/>
          <w:sz w:val="21"/>
        </w:rPr>
        <w:t xml:space="preserve"> (Notice ARC 8761B,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2837C</w:t>
      </w:r>
      <w:r>
        <w:rPr>
          <w:rFonts w:ascii="Times New Roman" w:hAnsi="Times New Roman"/>
          <w:b w:val="false"/>
          <w:i w:val="false"/>
          <w:color w:val="000000"/>
          <w:sz w:val="21"/>
        </w:rPr>
        <w:t xml:space="preserve"> (Notice ARC 2734C,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7833C</w:t>
      </w:r>
      <w:r>
        <w:rPr>
          <w:rFonts w:ascii="Times New Roman" w:hAnsi="Times New Roman"/>
          <w:b w:val="false"/>
          <w:i w:val="false"/>
          <w:color w:val="000000"/>
          <w:sz w:val="21"/>
        </w:rPr>
        <w:t xml:space="preserve"> (Notice ARC 7284C,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6.5.pdf" Type="http://schemas.openxmlformats.org/officeDocument/2006/relationships/hyperlink" Id="rId5"/>
    <Relationship TargetMode="External" Target="https://www.legis.iowa.gov/docs/ico/chapter/135K.1.pdf" Type="http://schemas.openxmlformats.org/officeDocument/2006/relationships/hyperlink" Id="rId6"/>
    <Relationship TargetMode="External" Target="https://www.legis.iowa.gov/docs/ico/chapter/135K.1.pdf" Type="http://schemas.openxmlformats.org/officeDocument/2006/relationships/hyperlink" Id="rId7"/>
    <Relationship TargetMode="External" Target="https://www.legis.iowa.gov/docs/iac/rule/481.476.4.pdf" Type="http://schemas.openxmlformats.org/officeDocument/2006/relationships/hyperlink" Id="rId8"/>
    <Relationship TargetMode="External" Target="https://www.legis.iowa.gov/docs/iac/rule/481.476.4.pdf" Type="http://schemas.openxmlformats.org/officeDocument/2006/relationships/hyperlink" Id="rId9"/>
    <Relationship TargetMode="External" Target="https://www.legis.iowa.gov/docs/iac/rule/481.476.6.pdf" Type="http://schemas.openxmlformats.org/officeDocument/2006/relationships/hyperlink" Id="rId10"/>
    <Relationship TargetMode="External" Target="https://www.legis.iowa.gov/docs/ico/chapter/135K.5.pdf" Type="http://schemas.openxmlformats.org/officeDocument/2006/relationships/hyperlink" Id="rId11"/>
    <Relationship TargetMode="External" Target="https://www.legis.iowa.gov/docs/iac/rule/481.476.6.pdf" Type="http://schemas.openxmlformats.org/officeDocument/2006/relationships/hyperlink" Id="rId12"/>
    <Relationship TargetMode="External" Target="https://www.legis.iowa.gov/docs/iac/rule/481.476.4.pdf" Type="http://schemas.openxmlformats.org/officeDocument/2006/relationships/hyperlink" Id="rId13"/>
    <Relationship TargetMode="External" Target="https://www.legis.iowa.gov/docs/iac/rule/481.476.4.pdf" Type="http://schemas.openxmlformats.org/officeDocument/2006/relationships/hyperlink" Id="rId14"/>
    <Relationship TargetMode="External" Target="https://www.legis.iowa.gov/docs/iac/rule/481.476.4.pdf" Type="http://schemas.openxmlformats.org/officeDocument/2006/relationships/hyperlink" Id="rId15"/>
    <Relationship TargetMode="External" Target="https://www.legis.iowa.gov/docs/iac/rule/481.476.4.pdf" Type="http://schemas.openxmlformats.org/officeDocument/2006/relationships/hyperlink" Id="rId16"/>
    <Relationship TargetMode="External" Target="https://www.legis.iowa.gov/docs/iac/rule/481.476.4.pdf" Type="http://schemas.openxmlformats.org/officeDocument/2006/relationships/hyperlink" Id="rId17"/>
    <Relationship TargetMode="External" Target="https://www.legis.iowa.gov/docs/iac/rule/481.476.4.pdf" Type="http://schemas.openxmlformats.org/officeDocument/2006/relationships/hyperlink" Id="rId18"/>
    <Relationship TargetMode="External" Target="https://www.legis.iowa.gov/docs/iac/chapter/481.9.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co/chapter/135K.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