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435</w:t>
      </w:r>
    </w:p>
    <w:p>
      <w:pPr>
        <w:spacing w:before="0" w:after="0"/>
        <w:ind w:left="120"/>
        <w:jc w:val="center"/>
      </w:pPr>
      <w:r>
        <w:rPr>
          <w:rFonts w:ascii="Times New Roman" w:hAnsi="Times New Roman"/>
          <w:b w:val="false"/>
          <w:i w:val="false"/>
          <w:color w:val="000000"/>
          <w:sz w:val="21"/>
        </w:rPr>
        <w:t>PLUMBING AND MECHANICAL SYSTEMS BOARD—CONTESTED CASES</w:t>
      </w:r>
    </w:p>
    <w:p>
      <w:pPr>
        <w:spacing w:before="0" w:after="0"/>
        <w:ind w:left="120"/>
        <w:jc w:val="center"/>
      </w:pPr>
      <w:r>
        <w:rPr>
          <w:rFonts w:ascii="Times New Roman" w:hAnsi="Times New Roman"/>
          <w:b w:val="false"/>
          <w:i w:val="false"/>
          <w:color w:val="000000"/>
          <w:sz w:val="14"/>
        </w:rPr>
        <w:t>[Prior to 4/2/25, see Public Health Department[641]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481—435.1</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plumbing and mechanical systems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plumbing and mechanical systems board as established pursuant to Iowa Code section </w:t>
      </w:r>
      <w:hyperlink r:id="rId5">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officer” </w:t>
      </w:r>
      <w:r>
        <w:rPr>
          <w:rFonts w:ascii="Times New Roman" w:hAnsi="Times New Roman"/>
          <w:b w:val="false"/>
          <w:i w:val="false"/>
          <w:color w:val="000000"/>
          <w:sz w:val="22"/>
        </w:rPr>
        <w:t>means the executive officer for the plumbing and mechanical systems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by rule or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registration, certificate, permit or other form of practice permission required by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of Iowa, as represented by the assistant attorney general assigned to prosecute the case on behalf of the public interest, the respondent, or an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board, a panel of board members, or a panel of nonboard member specialists as provided in Iowa Code section </w:t>
      </w:r>
      <w:hyperlink r:id="rId9">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in a disciplinary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481—435.4</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the board will order a contested case hearing commenced by the filing and service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board, its staff or agent, or a board committee may attempt to informally settle a disciplinary case before filing a statement of charges and notice of hearing. If the board and the licensee agree to a settlement of the case, a statement of charges will be filed simultaneously with a consent order, whether as separate or combined documents. By electing to sign a consent order, the licensee waives all rights to a hearing and all attendant rights. The consent order has the force and effect of a final disciplinary order entered in a contested case and is an open record. Matters not involving licensee discipline that culminate in a contested case may also be settled through consent order. Procedures governing settlement after notice of hearing is served are described in rule </w:t>
      </w:r>
      <w:hyperlink r:id="rId12">
        <w:r>
          <w:rPr>
            <w:rStyle w:val="Hyperlink"/>
            <w:rFonts w:ascii="Times New Roman" w:hAnsi="Times New Roman"/>
            <w:b w:val="false"/>
            <w:i w:val="false"/>
            <w:color w:val="000000"/>
            <w:sz w:val="22"/>
          </w:rPr>
          <w:t>481—435.23(272C)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481—435.6</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435.6(1)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before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435.6(2)</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 personal service or publication as provided in the Iowa Rules of Civil Procedure 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435.6(3)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by the board showing that there is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presiding officer as the board, a panel of board members, or a panel of nonboard member specialists as provided in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the respondent to submit an answer pursuant to subrule </w:t>
      </w:r>
      <w:hyperlink r:id="rId15">
        <w:r>
          <w:rPr>
            <w:rStyle w:val="Hyperlink"/>
            <w:rFonts w:ascii="Times New Roman" w:hAnsi="Times New Roman"/>
            <w:b w:val="false"/>
            <w:i w:val="false"/>
            <w:color w:val="000000"/>
            <w:sz w:val="22"/>
          </w:rPr>
          <w:t>435.13(2)</w:t>
        </w:r>
      </w:hyperlink>
      <w:r>
        <w:rPr>
          <w:rFonts w:ascii="Times New Roman" w:hAnsi="Times New Roman"/>
          <w:b w:val="false"/>
          <w:i w:val="false"/>
          <w:color w:val="000000"/>
          <w:sz w:val="22"/>
        </w:rPr>
        <w:t xml:space="preserve"> within 20 days after service of the statement of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481—435.7</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seeking or claiming entitlement to a contested case hearing shall file a written request for such a proceeding within the time specified by the particular rules or statutes governing the subject matter or, in the absence of such law, the time specified in the board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435.7(1)</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The request for a contested case proceeding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name and address of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specific board action that is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issues of material fact in dispute;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the requester is represented by a lawyer, identify the provisions of law or precedent requiring or authorizing the holding of a contested case proceeding in the particular circumstances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435.7(2)</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request. </w:t>
      </w:r>
      <w:r>
        <w:rPr>
          <w:rFonts w:ascii="Times New Roman" w:hAnsi="Times New Roman"/>
          <w:b w:val="false"/>
          <w:i w:val="false"/>
          <w:color w:val="000000"/>
          <w:sz w:val="22"/>
        </w:rPr>
        <w:t>If the board grants the request, the board will issue a notice of hearing. If the board denies the request, the board will issue a written order specifying the basis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481—435.8</w:t>
      </w:r>
      <w:r>
        <w:rPr>
          <w:rFonts w:ascii="Times New Roman" w:hAnsi="Times New Roman"/>
          <w:b/>
          <w:i w:val="false"/>
          <w:color w:val="000000"/>
          <w:sz w:val="22"/>
        </w:rPr>
        <w:t xml:space="preserve">(105)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a statement of charges and notice of hearing, the office of the attorney general is responsible for the legal representation of the public interest in all proceedings before the board. The assistant attorney general assigned to prosecute a contested case before the board will not represent the board in that case but will represent the public interest. Other parties to a proceeding before the board may have counsel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481—435.9</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will be the board, a panel of not fewer than three board members who are licensed under Iowa Code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or a panel of nonboard member specialists as provided in Iowa Code section </w:t>
      </w:r>
      <w:hyperlink r:id="rId17">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The board or a panel of board members when acting as presiding officer may request that an administrative law judge perform certain functions as an aid to the board or board panel, including ruling on prehearing motions, conducting the prehearing conference, ruling on evidentiary objections at hearing, assisting in deliberation, or drafting the written decision for review by the board or board panel. Decisions of the administrative law judge serving in this capacity are subject to the interlocutory appeal provisions of rule </w:t>
      </w:r>
      <w:hyperlink r:id="rId19">
        <w:r>
          <w:rPr>
            <w:rStyle w:val="Hyperlink"/>
            <w:rFonts w:ascii="Times New Roman" w:hAnsi="Times New Roman"/>
            <w:b w:val="false"/>
            <w:i w:val="false"/>
            <w:color w:val="000000"/>
            <w:sz w:val="22"/>
          </w:rPr>
          <w:t>481—435.29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481—435.10</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435.10(1)</w:t>
      </w:r>
      <w:r>
        <w:rPr>
          <w:rFonts w:ascii="Times New Roman" w:hAnsi="Times New Roman"/>
          <w:b w:val="false"/>
          <w:i w:val="false"/>
          <w:color w:val="000000"/>
          <w:sz w:val="22"/>
        </w:rPr>
        <w:t> </w:t>
      </w:r>
      <w:r>
        <w:rPr>
          <w:rFonts w:ascii="Times New Roman" w:hAnsi="Times New Roman"/>
          <w:b w:val="false"/>
          <w:i w:val="false"/>
          <w:color w:val="000000"/>
          <w:sz w:val="22"/>
        </w:rPr>
        <w:t>A nondisciplinary contested case includes license denial proceedings. Any party in a nondisciplinary contested case may request that the presiding officer assigned to render a proposed decision be an administrative law judge employed by the department of inspections, appeals, and licensing by filing a written request within 20 days after service of a notice of hearing identifying or describing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435.10(2)</w:t>
      </w:r>
      <w:r>
        <w:rPr>
          <w:rFonts w:ascii="Times New Roman" w:hAnsi="Times New Roman"/>
          <w:b w:val="false"/>
          <w:i w:val="false"/>
          <w:color w:val="000000"/>
          <w:sz w:val="22"/>
        </w:rPr>
        <w:t> </w:t>
      </w:r>
      <w:r>
        <w:rPr>
          <w:rFonts w:ascii="Times New Roman" w:hAnsi="Times New Roman"/>
          <w:b w:val="false"/>
          <w:i w:val="false"/>
          <w:color w:val="000000"/>
          <w:sz w:val="22"/>
        </w:rPr>
        <w:t>The board may only deny the request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20">
        <w:r>
          <w:rPr>
            <w:rStyle w:val="Hyperlink"/>
            <w:rFonts w:ascii="Times New Roman" w:hAnsi="Times New Roman"/>
            <w:b w:val="false"/>
            <w:i w:val="false"/>
            <w:color w:val="000000"/>
            <w:sz w:val="22"/>
          </w:rPr>
          <w:t>435.10(4)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not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21">
        <w:r>
          <w:rPr>
            <w:rStyle w:val="Hyperlink"/>
            <w:rFonts w:ascii="Times New Roman" w:hAnsi="Times New Roman"/>
            <w:b w:val="false"/>
            <w:i w:val="false"/>
            <w:color w:val="000000"/>
            <w:sz w:val="22"/>
          </w:rPr>
          <w:t>435.10(4)</w:t>
        </w:r>
      </w:hyperlink>
      <w:r>
        <w:rPr>
          <w:rFonts w:ascii="Times New Roman" w:hAnsi="Times New Roman"/>
          <w:b w:val="false"/>
          <w:i w:val="false"/>
          <w:color w:val="000000"/>
          <w:sz w:val="22"/>
        </w:rPr>
        <w:t>, the parties will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435.10(4)</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a provision or law, all rulings by an administrative law judge acting as presiding officer in a nondisciplinary contested case are subject to appeal to the board. Such appeals must be filed within ten days of the date of the issuance of the challenged ruling but no later than the time for compliance with the order or the date of the hearing,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435.10(5)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an administrative law judge in a nondisciplinary contested case upon appeal, the board possesses the powers and complies with the provisions of this chapter applicable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481—435.11</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435.11(1)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435.11(2)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board functions, including fact gathering for purposes other than investigation of the matter that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435.11(3)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2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23">
        <w:r>
          <w:rPr>
            <w:rStyle w:val="Hyperlink"/>
            <w:rFonts w:ascii="Times New Roman" w:hAnsi="Times New Roman"/>
            <w:b w:val="false"/>
            <w:i w:val="false"/>
            <w:color w:val="000000"/>
            <w:sz w:val="22"/>
          </w:rPr>
          <w:t>435.27(9)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435.11(4)</w:t>
      </w:r>
      <w:r>
        <w:rPr>
          <w:rFonts w:ascii="Times New Roman" w:hAnsi="Times New Roman"/>
          <w:b w:val="false"/>
          <w:i w:val="false"/>
          <w:color w:val="000000"/>
          <w:sz w:val="22"/>
        </w:rPr>
        <w:t> </w:t>
      </w:r>
      <w:r>
        <w:rPr>
          <w:rFonts w:ascii="Times New Roman" w:hAnsi="Times New Roman"/>
          <w:b w:val="false"/>
          <w:i w:val="false"/>
          <w:color w:val="000000"/>
          <w:sz w:val="22"/>
        </w:rPr>
        <w:t xml:space="preserve">By electing to participate in an appearance before the board pursuant to rule </w:t>
      </w:r>
      <w:hyperlink r:id="rId24">
        <w:r>
          <w:rPr>
            <w:rStyle w:val="Hyperlink"/>
            <w:rFonts w:ascii="Times New Roman" w:hAnsi="Times New Roman"/>
            <w:b w:val="false"/>
            <w:i w:val="false"/>
            <w:color w:val="000000"/>
            <w:sz w:val="22"/>
          </w:rPr>
          <w:t>481—433.7</w:t>
        </w:r>
      </w:hyperlink>
      <w:r>
        <w:rPr>
          <w:rFonts w:ascii="Times New Roman" w:hAnsi="Times New Roman"/>
          <w:b w:val="false"/>
          <w:i w:val="false"/>
          <w:color w:val="000000"/>
          <w:sz w:val="22"/>
        </w:rPr>
        <w:t>(17A), the licensee waives any objection to a board member’s participating as a decision maker in a contested case proceeding on the grounds that the board member “personally investigated” the matter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435.11(5)</w:t>
      </w:r>
      <w:r>
        <w:rPr>
          <w:rFonts w:ascii="Times New Roman" w:hAnsi="Times New Roman"/>
          <w:b w:val="false"/>
          <w:i w:val="false"/>
          <w:color w:val="000000"/>
          <w:sz w:val="22"/>
        </w:rPr>
        <w:t> </w:t>
      </w:r>
      <w:r>
        <w:rPr>
          <w:rFonts w:ascii="Times New Roman" w:hAnsi="Times New Roman"/>
          <w:b w:val="false"/>
          <w:i w:val="false"/>
          <w:color w:val="000000"/>
          <w:sz w:val="22"/>
        </w:rPr>
        <w:t>If a presiding officer or other person knows of information that might reasonably be deemed to be a basis for disqualification and decides voluntary withdrawal is unnecessary, that person will submit the relevant information from the records by affidavit including a statement of the reasons for the determination that withdrawal is unnecessary.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481—435.12</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435.12(1)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435.12(2)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481—435.13</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435.13(1)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435.13(2)</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statement of charges and notice of hearing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forth the name, address and telephone number of the person filing the answer, the person on whose behalf it is filed, and the attorney, if any, representing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Specifically admits, denies or otherwise answers all material allegations of the statement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Sets forth any facts deemed necessary to show an affirmative defense and contain as many additional defenses as the respondent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435.13(3)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481—435.14</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435.14(1)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person designated as prosecutor for the state, simultaneously with its filing. Except for the original statement of charges and notice of hearing and an application for rehearing as provided in Iowa Code section </w:t>
      </w:r>
      <w:hyperlink r:id="rId2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435.14(2)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completed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435.14(3)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statement of charges and notice of hearing, all documents in a contested case proceeding will be filed with the board. All documents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435.14(4)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the board; or mailed by first-class or state interoffice mail to the board,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435.14(5)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board and to the names and addresses of the parties listed below by depositing the same in (a United States post office mailbox with correct postage properly affixed or state interoffice mail).</w:t>
      </w:r>
    </w:p>
    <w:p>
      <w:pPr>
        <w:spacing w:before="0" w:after="0"/>
        <w:ind w:left="840"/>
        <w:jc w:val="both"/>
      </w:pPr>
      <w:r>
        <w:rPr>
          <w:rFonts w:ascii="Times New Roman" w:hAnsi="Times New Roman"/>
          <w:b w:val="false"/>
          <w:i w:val="false"/>
          <w:color w:val="000000"/>
          <w:sz w:val="22"/>
        </w:rPr>
        <w:t>______________</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___________________________</w:t>
      </w:r>
    </w:p>
    <w:p>
      <w:pPr>
        <w:spacing w:before="0" w:after="0"/>
        <w:ind w:left="840"/>
        <w:jc w:val="both"/>
      </w:pPr>
      <w:r>
        <w:rPr>
          <w:rFonts w:ascii="Times New Roman" w:hAnsi="Times New Roman"/>
          <w:b w:val="false"/>
          <w:i w:val="false"/>
          <w:color w:val="000000"/>
          <w:sz w:val="22"/>
        </w:rPr>
        <w:t>(Date)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481—435.15</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by order of the presiding officer, or by agreement of the parties, time periods for compliance with discovery will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 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in subrule </w:t>
      </w:r>
      <w:hyperlink r:id="rId26">
        <w:r>
          <w:rPr>
            <w:rStyle w:val="Hyperlink"/>
            <w:rFonts w:ascii="Times New Roman" w:hAnsi="Times New Roman"/>
            <w:b w:val="false"/>
            <w:i w:val="false"/>
            <w:color w:val="000000"/>
            <w:sz w:val="22"/>
          </w:rPr>
          <w:t>435.15(1)</w:t>
        </w:r>
      </w:hyperlink>
      <w:r>
        <w:rPr>
          <w:rFonts w:ascii="Times New Roman" w:hAnsi="Times New Roman"/>
          <w:b w:val="false"/>
          <w:i w:val="false"/>
          <w:color w:val="000000"/>
          <w:sz w:val="22"/>
        </w:rPr>
        <w:t>. The presiding officer may rule on the basis of the written motion and any response, or may order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435.15(3)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481—435.16</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 or hearing and may compel the production of books, papers, records, or other real evidence. A command to produce evidence or to permit inspection may be joined with a command to appear at deposition or hearing or may be issued separately. Subpoenas will be issued by the executive officer or designee upon written request. In the case of a request for a subpoena of mental health records, the request must confirm the conditions described in </w:t>
      </w:r>
      <w:hyperlink r:id="rId27">
        <w:r>
          <w:rPr>
            <w:rStyle w:val="Hyperlink"/>
            <w:rFonts w:ascii="Times New Roman" w:hAnsi="Times New Roman"/>
            <w:b w:val="false"/>
            <w:i w:val="false"/>
            <w:color w:val="000000"/>
            <w:sz w:val="22"/>
          </w:rPr>
          <w:t>481—subrule 433.5(1)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should include the following information, as applicable, unless the subpoena is requested in order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28">
        <w:r>
          <w:rPr>
            <w:rStyle w:val="Hyperlink"/>
            <w:rFonts w:ascii="Times New Roman" w:hAnsi="Times New Roman"/>
            <w:b w:val="false"/>
            <w:i w:val="false"/>
            <w:color w:val="000000"/>
            <w:sz w:val="22"/>
          </w:rPr>
          <w:t>481—subrule 433.5(1)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in order to compel testimony or documents for rebuttal or impeachment purposes, the executive officer or designee will 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describing the legal reasons why the subpoena should be quashed or modified. It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presiding officer may hold a hearing and issue a decision. Oral argument may be scheduled at the discretion of the presiding officer. The presiding officer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435.16(8)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481—435.17</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435.17(1)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435.17(2)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schedule oral argument on any motion. If the board requests that an administrative law judge issue a ruling on a prehearing motion, the ruling is subject to interlocutory appeal pursuant to rule </w:t>
      </w:r>
      <w:hyperlink r:id="rId29">
        <w:r>
          <w:rPr>
            <w:rStyle w:val="Hyperlink"/>
            <w:rFonts w:ascii="Times New Roman" w:hAnsi="Times New Roman"/>
            <w:b w:val="false"/>
            <w:i w:val="false"/>
            <w:color w:val="000000"/>
            <w:sz w:val="22"/>
          </w:rPr>
          <w:t>481—435.29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435.17(4)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five days prior to the date of the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435.17(5)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Iowa Rule of Civil Procedure 1.981 and will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must be filed and served at least 20 days prior to the scheduled hearing date, or other time period determined by the presiding officer. Any party resisting the motion shall file and serve a resistance within ten days, unless otherwise ordered by the presiding officer, from the date a copy of the motion was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fixed for hearing or nonoral submission will be not less than 15 days after the filing of the motion, unless a shorter time is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judgment order rendered on all issues in a contested case is subject to rehearing pursuant to rule </w:t>
      </w:r>
      <w:hyperlink r:id="rId30">
        <w:r>
          <w:rPr>
            <w:rStyle w:val="Hyperlink"/>
            <w:rFonts w:ascii="Times New Roman" w:hAnsi="Times New Roman"/>
            <w:b w:val="false"/>
            <w:i w:val="false"/>
            <w:color w:val="000000"/>
            <w:sz w:val="22"/>
          </w:rPr>
          <w:t>481—435.32</w:t>
        </w:r>
      </w:hyperlink>
      <w:r>
        <w:rPr>
          <w:rFonts w:ascii="Times New Roman" w:hAnsi="Times New Roman"/>
          <w:b w:val="false"/>
          <w:i w:val="false"/>
          <w:color w:val="000000"/>
          <w:sz w:val="22"/>
        </w:rPr>
        <w:t xml:space="preserve">(17A,272C) and appeal pursuant to rule </w:t>
      </w:r>
      <w:hyperlink r:id="rId31">
        <w:r>
          <w:rPr>
            <w:rStyle w:val="Hyperlink"/>
            <w:rFonts w:ascii="Times New Roman" w:hAnsi="Times New Roman"/>
            <w:b w:val="false"/>
            <w:i w:val="false"/>
            <w:color w:val="000000"/>
            <w:sz w:val="22"/>
          </w:rPr>
          <w:t>481—435.30</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upon written notice filed with the board and served on all parties. Unless otherwise ordered by the board,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will be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limit the issues raised by the intervenor or otherwise condition the intervenor’s participation.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481—435.20</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Disciplinary hearings will generally not be held by telephone or electronic means in the absence of consent by all parties, but the presiding officer may permit any witness to testify by telephone. Parties shall disclose at or before the prehearing conference if any witness will be testifying by telephone. Objections, if any, shall be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481—435.21</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435.21(1)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will be conducted by the executive officer or designee, who may request the assistance of an administrative law judge. A written request for prehearing conference or an order for prehearing conference on the executive officer’s own motion shall be filed not less than ten days prior to the hearing date. A prehearing conference will be scheduled not less than five business days prior to the hearing date. The executive officer shall set a prehearing conference in all licensee disciplinary cases and provide notice of the date and time in the notice of hearing. Written notice of the prehearing conference will be given by the executive officer to all parties. For good cause the executive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435.21(2)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will be prepared to discuss the following subjects, and the executive officer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or other witness lists. Witness lists may be amended subsequent to the prehearing conference within the time limits established by the executive officer or administrative law judge at the prehearing conference.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Other than rebuttal exhibits,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to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435.21(3)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435.22(1)</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applications for continuance shall be filed with the board at least seven days before the date scheduled for hearing. If the application for continuance is not contested, the executive officer or designee will issue the appropriate order. If the application for continuance is contested, the matter will be heard by the board or delegated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435.22(2)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for continuance;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435.22(3)</w:t>
      </w:r>
      <w:r>
        <w:rPr>
          <w:rFonts w:ascii="Times New Roman" w:hAnsi="Times New Roman"/>
          <w:b w:val="false"/>
          <w:i w:val="false"/>
          <w:color w:val="000000"/>
          <w:sz w:val="22"/>
        </w:rPr>
        <w:t> </w:t>
      </w:r>
      <w:r>
        <w:rPr>
          <w:rFonts w:ascii="Times New Roman" w:hAnsi="Times New Roman"/>
          <w:b w:val="false"/>
          <w:i w:val="false"/>
          <w:color w:val="000000"/>
          <w:sz w:val="22"/>
        </w:rPr>
        <w:t>An oral application for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435.22(4)</w:t>
      </w:r>
      <w:r>
        <w:rPr>
          <w:rFonts w:ascii="Times New Roman" w:hAnsi="Times New Roman"/>
          <w:b w:val="false"/>
          <w:i w:val="false"/>
          <w:color w:val="000000"/>
          <w:sz w:val="22"/>
        </w:rPr>
        <w:t> </w:t>
      </w:r>
      <w:r>
        <w:rPr>
          <w:rFonts w:ascii="Times New Roman" w:hAnsi="Times New Roman"/>
          <w:b w:val="false"/>
          <w:i w:val="false"/>
          <w:color w:val="000000"/>
          <w:sz w:val="22"/>
        </w:rPr>
        <w:t>No application for continuance will be made or granted without notice to all parties except in an emergency where notice is not feasible. The board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435.22(5)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 any relevant factors, including prior continuances; the interests of all parties; the public interest; the likelihood of informal settlement; the existence of an emergency; any objection; any applicable time requirements; the existence of a conflict in the schedules of counsel, parties, or witnesses; and the timeliness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481—435.23</w:t>
      </w:r>
      <w:r>
        <w:rPr>
          <w:rFonts w:ascii="Times New Roman" w:hAnsi="Times New Roman"/>
          <w:b/>
          <w:i w:val="false"/>
          <w:color w:val="000000"/>
          <w:sz w:val="22"/>
        </w:rPr>
        <w:t xml:space="preserve">(272C)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435.23(1)</w:t>
      </w:r>
      <w:r>
        <w:rPr>
          <w:rFonts w:ascii="Times New Roman" w:hAnsi="Times New Roman"/>
          <w:b w:val="false"/>
          <w:i w:val="false"/>
          <w:color w:val="000000"/>
          <w:sz w:val="22"/>
        </w:rPr>
        <w:t> </w:t>
      </w:r>
      <w:r>
        <w:rPr>
          <w:rFonts w:ascii="Times New Roman" w:hAnsi="Times New Roman"/>
          <w:b w:val="false"/>
          <w:i w:val="false"/>
          <w:color w:val="000000"/>
          <w:sz w:val="22"/>
        </w:rPr>
        <w:t>Settlement negotiations after the notice of hearing may be initiated by the licensee or other respondent, the prosecuting attorney, the board’s executive officer, or the board chair or chair’s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435.23(2)</w:t>
      </w:r>
      <w:r>
        <w:rPr>
          <w:rFonts w:ascii="Times New Roman" w:hAnsi="Times New Roman"/>
          <w:b w:val="false"/>
          <w:i w:val="false"/>
          <w:color w:val="000000"/>
          <w:sz w:val="22"/>
        </w:rPr>
        <w:t> </w:t>
      </w:r>
      <w:r>
        <w:rPr>
          <w:rFonts w:ascii="Times New Roman" w:hAnsi="Times New Roman"/>
          <w:b w:val="false"/>
          <w:i w:val="false"/>
          <w:color w:val="000000"/>
          <w:sz w:val="22"/>
        </w:rPr>
        <w:t>The board chair or chair’s designee may negotiate on behalf of the board but does not have the authority to bind the board to a particular term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respondent is not obligated to participate in settlement negotiations. The respondent’s initiation or consent to settlement negotiations constitutes a waiver of notice and opportunity to be heard during the settlement negotiation pursuant to Iowa Code section </w:t>
      </w:r>
      <w:hyperlink r:id="rId3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481—435.27</w:t>
        </w:r>
      </w:hyperlink>
      <w:r>
        <w:rPr>
          <w:rFonts w:ascii="Times New Roman" w:hAnsi="Times New Roman"/>
          <w:b w:val="false"/>
          <w:i w:val="false"/>
          <w:color w:val="000000"/>
          <w:sz w:val="22"/>
        </w:rPr>
        <w:t>(17A). Thereafter, the prosecuting attorney is authorized to discuss informal settlement with the board chair or chair’s designee, and the designated board member is not disqualified from participating in the adjudication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435.23(4)</w:t>
      </w:r>
      <w:r>
        <w:rPr>
          <w:rFonts w:ascii="Times New Roman" w:hAnsi="Times New Roman"/>
          <w:b w:val="false"/>
          <w:i w:val="false"/>
          <w:color w:val="000000"/>
          <w:sz w:val="22"/>
        </w:rPr>
        <w:t> </w:t>
      </w:r>
      <w:r>
        <w:rPr>
          <w:rFonts w:ascii="Times New Roman" w:hAnsi="Times New Roman"/>
          <w:b w:val="false"/>
          <w:i w:val="false"/>
          <w:color w:val="000000"/>
          <w:sz w:val="22"/>
        </w:rPr>
        <w:t>Unless designated to negotiate, no member of the board shall be involved in settlement negotiation until a written consent order is submitted to the full board for approval. No informal settlement will be submitted to the full board unless it is in final written form executed by the respondent. By signing the proposed consent order, the respondent authorizes the prosecuting attorney or executive officer to have ex parte communications with the board related to the terms of the settlement. If the board fails to approve the consent order, it shall be of no force and effect to either party and shall not be admissible at hearing. Upon rejecting a proposed consent order, the board may suggest alternative terms of settlement, which the respondent is free to accept or reject.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and respondent agree to a consent order, the consent order constitutes the final decision of the board. By electing to resolve a contested case through consent order, the respondent waives all rights to a hearing and attendant rights. A consent order in a licensee disciplinary case has the force and effect of a final disciplinary order entered in a contested case and may be published as provided in subrule </w:t>
      </w:r>
      <w:hyperlink r:id="rId34">
        <w:r>
          <w:rPr>
            <w:rStyle w:val="Hyperlink"/>
            <w:rFonts w:ascii="Times New Roman" w:hAnsi="Times New Roman"/>
            <w:b w:val="false"/>
            <w:i w:val="false"/>
            <w:color w:val="000000"/>
            <w:sz w:val="22"/>
          </w:rPr>
          <w:t>435.30(1)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481—435.24</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The presiding officer will be in control of the proceedings and will have the authority to administer oaths, admit or exclude testimony or other evidence, and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All witnesses shall be sworn or affirmed by the presiding officer or the court reporter and be subject to cross-examination. Board members and the administrative law judge have the right to examine witnesses at any stage of a witness’s testimony.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will be open to the public unless a licensee or licensee’s attorney requests in writing that a licensee disciplinary hearing be 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435.24(3)</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will be recorded either by mechanical or electronic means or by certified shorthand reporters. Oral proceedings or any part thereof will be transcribed at the request of any party with the expense of the transcription charged to the requesting party. The recording or stenographic notes of oral proceedings or the transcription will be filed with and maintained by the board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435.24(4)</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Before testimony is presented, the record will show the identities of any board members present, the identity of the administrative law judge, the identities of the primary parties and their representatives, and the fact that all testimony is being recorded. In contested cases initiated by the board, such as licensee discipline, hearings will generally be conducted in the following order, subject to modification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designee may read a summary of the charges and answers thereto and other responsive pleadings filed by the respondent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assistant attorney general representing the state’s interest before the board may make a brief opening statement, which may include a summary of charges and the names of any witnesses and documents to support such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respondent shall be offered the opportunity to make an opening statement, including the names of any witnesses the respondent(s) desires to call in defense. A respondent may elect to make the opening statement just prior to the presentation of evidence by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state,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respondent(s),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Closing arguments first on behalf of the state, then on behalf of the respondent(s), and then on behalf of the state, if any. The order of proceedings will be tailored to the nature of the contested case. In license reinstatement hearings, for example, the respondent will generally present evidence first because the respondent is obligated to present evidence in support of the respondent’s application for reinstatement pursuant to rule </w:t>
      </w:r>
      <w:hyperlink r:id="rId35">
        <w:r>
          <w:rPr>
            <w:rStyle w:val="Hyperlink"/>
            <w:rFonts w:ascii="Times New Roman" w:hAnsi="Times New Roman"/>
            <w:b w:val="false"/>
            <w:i w:val="false"/>
            <w:color w:val="000000"/>
            <w:sz w:val="22"/>
          </w:rPr>
          <w:t>481—435.40</w:t>
        </w:r>
      </w:hyperlink>
      <w:r>
        <w:rPr>
          <w:rFonts w:ascii="Times New Roman" w:hAnsi="Times New Roman"/>
          <w:b w:val="false"/>
          <w:i w:val="false"/>
          <w:color w:val="000000"/>
          <w:sz w:val="22"/>
        </w:rPr>
        <w:t xml:space="preserve">(17A,272C). In license denial hearings, the state will generally first establish the basis for the board’s denial of licensure, but thereafter the applicant has the burden of establishing the conditions for licensure pursuant to rule </w:t>
      </w:r>
      <w:hyperlink r:id="rId36">
        <w:r>
          <w:rPr>
            <w:rStyle w:val="Hyperlink"/>
            <w:rFonts w:ascii="Times New Roman" w:hAnsi="Times New Roman"/>
            <w:b w:val="false"/>
            <w:i w:val="false"/>
            <w:color w:val="000000"/>
            <w:sz w:val="22"/>
          </w:rPr>
          <w:t>481—435.36</w:t>
        </w:r>
      </w:hyperlink>
      <w:r>
        <w:rPr>
          <w:rFonts w:ascii="Times New Roman" w:hAnsi="Times New Roman"/>
          <w:b w:val="false"/>
          <w:i w:val="false"/>
          <w:color w:val="000000"/>
          <w:sz w:val="22"/>
        </w:rPr>
        <w:t>(17A,105,272C).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The presiding officer has authority to grant immunity from disciplinary action to a witness, as provided by Iowa Code section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but only upon the unanimous vote of all members of the board hearing the case. The official record of the hearing shall include the reasons for granting the immunity.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435.24(7)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officer’s own motion or upon the request of a party, may sequester witnesses.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481—435.25</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the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a party waives the party’s right to such notice or the presiding officer determines that good cause justifies expansion of the issues. If the presiding officer admits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the opposing party with an opportunity to examine the exhibit prior to the ruling on its admissibility. Copies of documents shall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must be timely and will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by briefly summarizing the testimony or, with permission of the presiding officer, presenting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435.25(7)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relying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481—435.26</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38">
        <w:r>
          <w:rPr>
            <w:rStyle w:val="Hyperlink"/>
            <w:rFonts w:ascii="Times New Roman" w:hAnsi="Times New Roman"/>
            <w:b w:val="false"/>
            <w:i w:val="false"/>
            <w:color w:val="000000"/>
            <w:sz w:val="22"/>
          </w:rPr>
          <w:t>435.30(2)</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with burden of proof as to good cause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9">
        <w:r>
          <w:rPr>
            <w:rStyle w:val="Hyperlink"/>
            <w:rFonts w:ascii="Times New Roman" w:hAnsi="Times New Roman"/>
            <w:b w:val="false"/>
            <w:i w:val="false"/>
            <w:color w:val="000000"/>
            <w:sz w:val="22"/>
          </w:rPr>
          <w:t>481—435.29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interlocutory appeal has been taken, the presiding officer will issue another statement of charges and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435.26(9)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is to be stayed pending a timely motion to vacate or that the default decision is to take effect immediately, subject to a request for stay under rule </w:t>
      </w:r>
      <w:hyperlink r:id="rId40">
        <w:r>
          <w:rPr>
            <w:rStyle w:val="Hyperlink"/>
            <w:rFonts w:ascii="Times New Roman" w:hAnsi="Times New Roman"/>
            <w:b w:val="false"/>
            <w:i w:val="false"/>
            <w:color w:val="000000"/>
            <w:sz w:val="22"/>
          </w:rPr>
          <w:t>481—435.33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481—435.27</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requested for the disposition of ex parte matters specifically authorized by statute, following issuance of the statement of charges and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as defined in subrule </w:t>
      </w:r>
      <w:hyperlink r:id="rId41">
        <w:r>
          <w:rPr>
            <w:rStyle w:val="Hyperlink"/>
            <w:rFonts w:ascii="Times New Roman" w:hAnsi="Times New Roman"/>
            <w:b w:val="false"/>
            <w:i w:val="false"/>
            <w:color w:val="000000"/>
            <w:sz w:val="22"/>
          </w:rPr>
          <w:t>435.11(2)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42">
        <w:r>
          <w:rPr>
            <w:rStyle w:val="Hyperlink"/>
            <w:rFonts w:ascii="Times New Roman" w:hAnsi="Times New Roman"/>
            <w:b w:val="false"/>
            <w:i w:val="false"/>
            <w:color w:val="000000"/>
            <w:sz w:val="22"/>
          </w:rPr>
          <w:t>481—435.14</w:t>
        </w:r>
      </w:hyperlink>
      <w:r>
        <w:rPr>
          <w:rFonts w:ascii="Times New Roman" w:hAnsi="Times New Roman"/>
          <w:b w:val="false"/>
          <w:i w:val="false"/>
          <w:color w:val="000000"/>
          <w:sz w:val="22"/>
        </w:rPr>
        <w:t>(17A) and may be supplemented by telephone, facsimile, electronic mail, or other means of notification. When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a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officer or other persons may be present during deliberations as long as the executive officer or other person is not disqualified from participating pursuant to rule </w:t>
      </w:r>
      <w:hyperlink r:id="rId43">
        <w:r>
          <w:rPr>
            <w:rStyle w:val="Hyperlink"/>
            <w:rFonts w:ascii="Times New Roman" w:hAnsi="Times New Roman"/>
            <w:b w:val="false"/>
            <w:i w:val="false"/>
            <w:color w:val="000000"/>
            <w:sz w:val="22"/>
          </w:rPr>
          <w:t>481—435.11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44">
        <w:r>
          <w:rPr>
            <w:rStyle w:val="Hyperlink"/>
            <w:rFonts w:ascii="Times New Roman" w:hAnsi="Times New Roman"/>
            <w:b w:val="false"/>
            <w:i w:val="false"/>
            <w:color w:val="000000"/>
            <w:sz w:val="22"/>
          </w:rPr>
          <w:t>481—435.22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contested case process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435.27(10)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communications prohibitions by board personnel will be reported to the board and the board’s executive officer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481—435.28</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481—435.29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officer, administrative law judge, or hearing panel. Any request for interlocutory review must be filed within 14 days of issuance of the challenged order, but no later than the time for compliance with the order or the date of the hearing, whichever is first. In determining whether to do so, the board will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435.30(1)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 xml:space="preserve">When a quorum of the board presides over the reception of the evidence at the hearing, its decision is a final decision. A majority of the members constitutes a quorum. Final decisions will be served on the parties in accordance with subrule </w:t>
      </w:r>
      <w:hyperlink r:id="rId46">
        <w:r>
          <w:rPr>
            <w:rStyle w:val="Hyperlink"/>
            <w:rFonts w:ascii="Times New Roman" w:hAnsi="Times New Roman"/>
            <w:b w:val="false"/>
            <w:i w:val="false"/>
            <w:color w:val="000000"/>
            <w:sz w:val="22"/>
          </w:rPr>
          <w:t>435.14(2)</w:t>
        </w:r>
      </w:hyperlink>
      <w:r>
        <w:rPr>
          <w:rFonts w:ascii="Times New Roman" w:hAnsi="Times New Roman"/>
          <w:b w:val="false"/>
          <w:i w:val="false"/>
          <w:color w:val="000000"/>
          <w:sz w:val="22"/>
        </w:rPr>
        <w:t xml:space="preserve">. Final decisions of the board, including consent agreements and consent orders, are public documents pursuant to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435.30(2)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will issue a proposed decision that will include findings of fact but will not include conclusions of law or any recommendation for or against the licensee discipline. A proposed decision of a panel of specialists, together with a transcript of the proceedings and the exhibits presented, will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48">
        <w:r>
          <w:rPr>
            <w:rStyle w:val="Hyperlink"/>
            <w:rFonts w:ascii="Times New Roman" w:hAnsi="Times New Roman"/>
            <w:b w:val="false"/>
            <w:i w:val="false"/>
            <w:color w:val="000000"/>
            <w:sz w:val="22"/>
          </w:rPr>
          <w:t>435.30(2)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49">
        <w:r>
          <w:rPr>
            <w:rStyle w:val="Hyperlink"/>
            <w:rFonts w:ascii="Times New Roman" w:hAnsi="Times New Roman"/>
            <w:b w:val="false"/>
            <w:i w:val="false"/>
            <w:color w:val="000000"/>
            <w:sz w:val="22"/>
          </w:rPr>
          <w:t>33.30(2)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50">
        <w:r>
          <w:rPr>
            <w:rStyle w:val="Hyperlink"/>
            <w:rFonts w:ascii="Times New Roman" w:hAnsi="Times New Roman"/>
            <w:b w:val="false"/>
            <w:i w:val="false"/>
            <w:color w:val="000000"/>
            <w:sz w:val="22"/>
          </w:rPr>
          <w:t>33.30(2)</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from, the specific findings or conclusions to which exception is taken and any other exceptions to the decision or order,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will be heard by the board unless waived by both parties. The time granted each party for oral argument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will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481—435.31</w:t>
      </w:r>
      <w:r>
        <w:rPr>
          <w:rFonts w:ascii="Times New Roman" w:hAnsi="Times New Roman"/>
          <w:b/>
          <w:i w:val="false"/>
          <w:color w:val="000000"/>
          <w:sz w:val="22"/>
        </w:rPr>
        <w:t xml:space="preserve">(17A,272C) </w:t>
      </w:r>
      <w:r>
        <w:rPr>
          <w:rFonts w:ascii="Times New Roman" w:hAnsi="Times New Roman"/>
          <w:b/>
          <w:i w:val="false"/>
          <w:color w:val="000000"/>
          <w:sz w:val="22"/>
        </w:rPr>
        <w:t xml:space="preserve">Client notification. </w:t>
      </w:r>
      <w:r>
        <w:rPr>
          <w:rFonts w:ascii="Times New Roman" w:hAnsi="Times New Roman"/>
          <w:b w:val="false"/>
          <w:i w:val="false"/>
          <w:color w:val="000000"/>
          <w:sz w:val="22"/>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481—435.32</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rehearing will state on whose behalf it is filed, the specific grounds for rehearing, the relief sought, whether the applicant desires reconsideration of all or part of the board decision on the existing record, and whether, on the basis of grounds enumerated in paragraph </w:t>
      </w:r>
      <w:hyperlink r:id="rId51">
        <w:r>
          <w:rPr>
            <w:rStyle w:val="Hyperlink"/>
            <w:rFonts w:ascii="Times New Roman" w:hAnsi="Times New Roman"/>
            <w:b w:val="false"/>
            <w:i w:val="false"/>
            <w:color w:val="000000"/>
            <w:sz w:val="22"/>
          </w:rPr>
          <w:t>435.30(2)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rule </w:t>
      </w:r>
      <w:hyperlink r:id="rId52">
        <w:r>
          <w:rPr>
            <w:rStyle w:val="Hyperlink"/>
            <w:rFonts w:ascii="Times New Roman" w:hAnsi="Times New Roman"/>
            <w:b w:val="false"/>
            <w:i w:val="false"/>
            <w:color w:val="000000"/>
            <w:sz w:val="22"/>
          </w:rPr>
          <w:t>481—435.31</w:t>
        </w:r>
      </w:hyperlink>
      <w:r>
        <w:rPr>
          <w:rFonts w:ascii="Times New Roman" w:hAnsi="Times New Roman"/>
          <w:b w:val="false"/>
          <w:i w:val="false"/>
          <w:color w:val="000000"/>
          <w:sz w:val="22"/>
        </w:rPr>
        <w:t>(17A,272C),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435.32(4)</w:t>
      </w:r>
      <w:r>
        <w:rPr>
          <w:rFonts w:ascii="Times New Roman" w:hAnsi="Times New Roman"/>
          <w:b w:val="false"/>
          <w:i w:val="false"/>
          <w:color w:val="000000"/>
          <w:sz w:val="22"/>
        </w:rPr>
        <w:t> </w:t>
      </w:r>
      <w:r>
        <w:rPr>
          <w:rFonts w:ascii="Times New Roman" w:hAnsi="Times New Roman"/>
          <w:b w:val="false"/>
          <w:i w:val="false"/>
          <w:color w:val="000000"/>
          <w:sz w:val="22"/>
        </w:rPr>
        <w:t>A copy of the application shall be timely mailed by the applicant to all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435.32(5)</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that additional evidence be considered on rehearing is governed by paragraph </w:t>
      </w:r>
      <w:hyperlink r:id="rId53">
        <w:r>
          <w:rPr>
            <w:rStyle w:val="Hyperlink"/>
            <w:rFonts w:ascii="Times New Roman" w:hAnsi="Times New Roman"/>
            <w:b w:val="false"/>
            <w:i w:val="false"/>
            <w:color w:val="000000"/>
            <w:sz w:val="22"/>
          </w:rPr>
          <w:t>435.30(2)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435.32(6)</w:t>
      </w:r>
      <w:r>
        <w:rPr>
          <w:rFonts w:ascii="Times New Roman" w:hAnsi="Times New Roman"/>
          <w:b w:val="false"/>
          <w:i w:val="false"/>
          <w:color w:val="000000"/>
          <w:sz w:val="22"/>
        </w:rPr>
        <w:t> </w:t>
      </w:r>
      <w:r>
        <w:rPr>
          <w:rFonts w:ascii="Times New Roman" w:hAnsi="Times New Roman"/>
          <w:b w:val="false"/>
          <w:i w:val="false"/>
          <w:color w:val="000000"/>
          <w:sz w:val="22"/>
        </w:rPr>
        <w:t>Any application for rehearing is deemed denied unless the board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435.32(7)</w:t>
      </w:r>
      <w:r>
        <w:rPr>
          <w:rFonts w:ascii="Times New Roman" w:hAnsi="Times New Roman"/>
          <w:b w:val="false"/>
          <w:i w:val="false"/>
          <w:color w:val="000000"/>
          <w:sz w:val="22"/>
        </w:rPr>
        <w:t>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435.32(8)</w:t>
      </w:r>
      <w:r>
        <w:rPr>
          <w:rFonts w:ascii="Times New Roman" w:hAnsi="Times New Roman"/>
          <w:b w:val="false"/>
          <w:i w:val="false"/>
          <w:color w:val="000000"/>
          <w:sz w:val="22"/>
        </w:rPr>
        <w:t>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481—435.33</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435.33(1)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shall state the reasons justifying a stay or other temporary remedy. The board may rule on the stay or authorize the administrative law judge to do so. 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435.33(2)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presiding officer or board will consider the factors listed in Iowa Code section </w:t>
      </w:r>
      <w:hyperlink r:id="rId5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435.33(3)</w:t>
      </w:r>
      <w:r>
        <w:rPr>
          <w:rFonts w:ascii="Times New Roman" w:hAnsi="Times New Roman"/>
          <w:b w:val="false"/>
          <w:i w:val="false"/>
          <w:color w:val="000000"/>
          <w:sz w:val="22"/>
        </w:rPr>
        <w:t>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481—435.34</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481—435.35</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435.35(1)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5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435.35(2)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and the board’s decision to take immediate action. The order is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Facsimile, which may be used as the sole method of delivery if the person required to comply with the order has filed a written request that board orders be sent by facsimile and has provided a facsimile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435.35(3)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435.35(4)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board proceedings are scheduled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written application unless the person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481—435.36</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License denial. </w:t>
      </w:r>
      <w:r>
        <w:rPr>
          <w:rFonts w:ascii="Times New Roman" w:hAnsi="Times New Roman"/>
          <w:b w:val="false"/>
          <w:i w:val="false"/>
          <w:color w:val="000000"/>
          <w:sz w:val="22"/>
        </w:rPr>
        <w:t xml:space="preserve">If the board denies an application for a license, the board or its staff shall send written notice to the applicant by regular first-class mail identifying the factual and legal basis for denying the application. If the board denies an application to renew an existing license, the provisions of rule </w:t>
      </w:r>
      <w:hyperlink r:id="rId56">
        <w:r>
          <w:rPr>
            <w:rStyle w:val="Hyperlink"/>
            <w:rFonts w:ascii="Times New Roman" w:hAnsi="Times New Roman"/>
            <w:b w:val="false"/>
            <w:i w:val="false"/>
            <w:color w:val="000000"/>
            <w:sz w:val="22"/>
          </w:rPr>
          <w:t>481—435.37(17A,105,272C)</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435.36(1)</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contest the denial must request a hearing before the board within 30 calendar days of the date the notice of denial is mailed. A request for hearing must be in writing and is deemed made on the date of the United States Postal Service nonmetered postmark or the date of personal service to the board office. The request for hearing shall specify the factual or legal errors that the applicant contends were made by the board, must identify any factual disputes upon which the applicant desires an evidentiary hearing, and may provide additional written information or documents in support of licensure. If a request for hearing is timely made, the board shall promptly issue a notice of hearing on the grounds asserted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57">
        <w:r>
          <w:rPr>
            <w:rStyle w:val="Hyperlink"/>
            <w:rFonts w:ascii="Times New Roman" w:hAnsi="Times New Roman"/>
            <w:b w:val="false"/>
            <w:i w:val="false"/>
            <w:color w:val="000000"/>
            <w:sz w:val="22"/>
          </w:rPr>
          <w:t>435.10(1)</w:t>
        </w:r>
      </w:hyperlink>
      <w:r>
        <w:rPr>
          <w:rFonts w:ascii="Times New Roman" w:hAnsi="Times New Roman"/>
          <w:b w:val="false"/>
          <w:i w:val="false"/>
          <w:color w:val="000000"/>
          <w:sz w:val="22"/>
        </w:rPr>
        <w:t xml:space="preserve">, the board may act as presiding officer at the contested case hearing, may hold the hearing before a panel of three board members, or may request that an administrative law judge act as the presiding officer and render a proposed decision. A proposed decision by a panel of board members or an administrative law judge is subject to appeal or review by the board pursuant to subrule </w:t>
      </w:r>
      <w:hyperlink r:id="rId58">
        <w:r>
          <w:rPr>
            <w:rStyle w:val="Hyperlink"/>
            <w:rFonts w:ascii="Times New Roman" w:hAnsi="Times New Roman"/>
            <w:b w:val="false"/>
            <w:i w:val="false"/>
            <w:color w:val="000000"/>
            <w:sz w:val="22"/>
          </w:rPr>
          <w:t>435.30(2)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435.36(3)</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 Evidence supporting the denial of the license may be presented by an assistant attorney general. While each party shall have the burden of establishing the affirmative of matters asserted, 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after a hearing on the license denial, may grant or deny the application for licensure. If denied, the presiding officer shall state the reasons for denial of the license and may state conditions under which the application for licensure might be granted,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license denial, request for hearing, notice of hearing, record at hearing, and order are open records and available for inspection and copying in accordance with Iowa Code chapter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collateral organizations, and other persons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435.36(6)</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6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that are applicable to judicial review of any agency’s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481—435.37</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Denial of application to renew license. </w:t>
      </w:r>
      <w:r>
        <w:rPr>
          <w:rFonts w:ascii="Times New Roman" w:hAnsi="Times New Roman"/>
          <w:b w:val="false"/>
          <w:i w:val="false"/>
          <w:color w:val="000000"/>
          <w:sz w:val="22"/>
        </w:rPr>
        <w:t>If the board denies a timely and sufficient application to renew a license, a notice of hearing will be issued to commence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435.37(1)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on denial of an application to renew a license will be conducted according to the procedural rules applicable to contested cases. Evidence supporting the denial of the license may be presented by an assistant attorney general. The provisions of subrules </w:t>
      </w:r>
      <w:hyperlink r:id="rId61">
        <w:r>
          <w:rPr>
            <w:rStyle w:val="Hyperlink"/>
            <w:rFonts w:ascii="Times New Roman" w:hAnsi="Times New Roman"/>
            <w:b w:val="false"/>
            <w:i w:val="false"/>
            <w:color w:val="000000"/>
            <w:sz w:val="22"/>
          </w:rPr>
          <w:t>435.36(2)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435.36(4)</w:t>
        </w:r>
      </w:hyperlink>
      <w:r>
        <w:rPr>
          <w:rFonts w:ascii="Times New Roman" w:hAnsi="Times New Roman"/>
          <w:b w:val="false"/>
          <w:i w:val="false"/>
          <w:color w:val="000000"/>
          <w:sz w:val="22"/>
        </w:rPr>
        <w:t xml:space="preserve"> to </w:t>
      </w:r>
      <w:hyperlink r:id="rId63">
        <w:r>
          <w:rPr>
            <w:rStyle w:val="Hyperlink"/>
            <w:rFonts w:ascii="Times New Roman" w:hAnsi="Times New Roman"/>
            <w:b w:val="false"/>
            <w:i w:val="false"/>
            <w:color w:val="000000"/>
            <w:sz w:val="22"/>
          </w:rPr>
          <w:t>435.36(6)</w:t>
        </w:r>
      </w:hyperlink>
      <w:r>
        <w:rPr>
          <w:rFonts w:ascii="Times New Roman" w:hAnsi="Times New Roman"/>
          <w:b w:val="false"/>
          <w:i w:val="false"/>
          <w:color w:val="000000"/>
          <w:sz w:val="22"/>
        </w:rPr>
        <w:t xml:space="preserve"> will generally apply, although license denial hearings that are in the nature of disciplinary actions will be subject to all laws and rules applicable to such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435.37(2)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6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an existing license does not terminate or expire if the licensee has made timely and sufficient application for renewal until the last day for seeking judicial review of the board’s final order denying the application, or a later date fixed by order of the board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435.37(3)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6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paper or electronic form, or postmarked with a nonmetered United States Postal Service postmark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by the licensee if the application is submitted in paper form or certified as accurate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required fee. The fee will be deemed unacceptable if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435.37(4)</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will not prevent the board from subsequently commencing a contested case to challenge the licensee’s qualifications for continued licensure if grounds exist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481—435.38</w:t>
      </w:r>
      <w:r>
        <w:rPr>
          <w:rFonts w:ascii="Times New Roman" w:hAnsi="Times New Roman"/>
          <w:b/>
          <w:i w:val="false"/>
          <w:color w:val="000000"/>
          <w:sz w:val="22"/>
        </w:rPr>
        <w:t xml:space="preserve">(105,272C) </w:t>
      </w:r>
      <w:r>
        <w:rPr>
          <w:rFonts w:ascii="Times New Roman" w:hAnsi="Times New Roman"/>
          <w:b/>
          <w:i w:val="false"/>
          <w:color w:val="000000"/>
          <w:sz w:val="22"/>
        </w:rPr>
        <w:t xml:space="preserve">Recovery of hearing fees and expenses. </w:t>
      </w:r>
      <w:r>
        <w:rPr>
          <w:rFonts w:ascii="Times New Roman" w:hAnsi="Times New Roman"/>
          <w:b w:val="false"/>
          <w:i w:val="false"/>
          <w:color w:val="000000"/>
          <w:sz w:val="22"/>
        </w:rPr>
        <w:t>The board may assess the licensee certain fees and expenses relating to a disciplinary hearing only if the board finds that the licensee has violated a statute or rule enforced by the board. Payment shall be made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435.38(1)</w:t>
      </w:r>
      <w:r>
        <w:rPr>
          <w:rFonts w:ascii="Times New Roman" w:hAnsi="Times New Roman"/>
          <w:b w:val="false"/>
          <w:i w:val="false"/>
          <w:color w:val="000000"/>
          <w:sz w:val="22"/>
        </w:rPr>
        <w:t> </w:t>
      </w:r>
      <w:r>
        <w:rPr>
          <w:rFonts w:ascii="Times New Roman" w:hAnsi="Times New Roman"/>
          <w:b w:val="false"/>
          <w:i w:val="false"/>
          <w:color w:val="000000"/>
          <w:sz w:val="22"/>
        </w:rPr>
        <w:t>The board may assess the following costs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conducting a disciplinary hearing, an amount not to exceed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costs involved in the transcript of the hearing or other proceedings in the contested case including, but not limited to, the services of the court reporter at the hearing, transcription, duplication, and postage or delivery costs. In the event of an appeal to the full board from a proposed decision, the appealing party shall timely request and pay for the transcript necessary for use in the board appeal process. The board may assess the transcript cost against the licensee pursuant to Iowa Code section </w:t>
      </w:r>
      <w:hyperlink r:id="rId66">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67">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 as the board deems equitable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normally accepted witness expenses and fees for a hearing or the taking of depositions, as incurred by the state of Iowa. These costs include, but are not limited to, the cost of an expert witness and the cost involved in telephone testimony. The costs for lay witnesses are guided by Iowa Code section </w:t>
      </w:r>
      <w:hyperlink r:id="rId6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 for expert witnesses is guided by Iowa Code section </w:t>
      </w:r>
      <w:hyperlink r:id="rId69">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Mileage costs are not guided by Iowa Code section </w:t>
      </w:r>
      <w:hyperlink r:id="rId70">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The provisions of Iowa Code section </w:t>
      </w:r>
      <w:hyperlink r:id="rId71">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any witness who is subpoenaed by either party to testify at hearing. Additionally, the board may assess travel and lodging expenses for witnesses at a rate not to exceed the rate applicable to state employees on the date the expense is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normally applicable costs incurred by the state of Iowa involved in depositions including, but not limited to, the service of the court reporter who records the deposition, transcription, duplication, and postage or delivery costs. When a deposition of an expert witness is taken, the deposition cost shall include a reasonable expert witness fee. The expert witness fee shall not exceed the expert’s customary hourly or daily rate, and shall include the time spent in travel to and from the deposition but exclude time spent in preparation for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435.38(2)</w:t>
      </w:r>
      <w:r>
        <w:rPr>
          <w:rFonts w:ascii="Times New Roman" w:hAnsi="Times New Roman"/>
          <w:b w:val="false"/>
          <w:i w:val="false"/>
          <w:color w:val="000000"/>
          <w:sz w:val="22"/>
        </w:rPr>
        <w:t> </w:t>
      </w:r>
      <w:r>
        <w:rPr>
          <w:rFonts w:ascii="Times New Roman" w:hAnsi="Times New Roman"/>
          <w:b w:val="false"/>
          <w:i w:val="false"/>
          <w:color w:val="000000"/>
          <w:sz w:val="22"/>
        </w:rPr>
        <w:t>When imposed at the board’s discretion, hearing fees (not exceeding $75) will be assessed in the final disciplinary order. Costs and expenses assessed pursuant to this rule will be calculated and, when possible, entered into the final disciplinary order specifying the amount to be reimbursed and the time period in which the amount assessed must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impractical or not possible to include in the disciplinary order the exact amount of the assessment and time period in which to pay in a timely manner, or if the expenditures occur after the disciplinary order is issued, the board, by majority vote of the members present, may assess through separate order the amount to be reimbursed and the time period in which payment is to be made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assessment and the time period are not included in the disciplinary order, the board will have until the end of the sixth month after the date the state of Iowa paid the expenditures to assess the licensee for such expenditures. In order for the board to rely on this provision, however, the final disciplinary order must notify the licensee that fees and expenses will be assessed once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435.38(3)</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the fees, costs, or expenses assessed by the board by filing a written objection within 20 days of the issuance of the final disciplinary decision, or within 10 days of any subsequent order establishing the amount of the assessment. A party’s failure to timely object is deemed a failure to exhaust administrative remedies. Orders imposing fees, costs, or expenses will notify the licensee of the time frame in which objections must be filed in order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435.38(4)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costs, and expenses assessed by the board pursuant to this rule are allocated to the expenditure category in which the disciplinary procedure or hearing was incurred. The fees, costs, and expenses are considered repayment of receipts as defined in Iowa Code section </w:t>
      </w:r>
      <w:hyperlink r:id="rId7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comply with payment of the assessed costs, fees, and expenses within the time specified by the board constitutes a violation of an order of the board, is grounds for discipline, and is considered prima facie evidence of a violation of Iowa Code section </w:t>
      </w:r>
      <w:hyperlink r:id="rId73">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“a.”</w:t>
      </w:r>
      <w:r>
        <w:rPr>
          <w:rFonts w:ascii="Times New Roman" w:hAnsi="Times New Roman"/>
          <w:b w:val="false"/>
          <w:i w:val="false"/>
          <w:color w:val="000000"/>
          <w:sz w:val="22"/>
        </w:rPr>
        <w:t xml:space="preserve"> However, no action may be taken against the licensee without the opportunity for hearing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481—435.39</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481—435.40</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435.40(1)</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435.40(2)</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or who voluntarily surrendered a license in a disciplinary proceeding, may apply to the board for reinstatement in accordance with the terms of the order of revocation or suspension, or order accepting the voluntary surrender,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435.40(3)</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cannot be made until at least one year has elapsed from the date of the order or the date the board accepted the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435.40(4)</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respondent’s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will allege facts which, if established, are sufficient to enable the board to determine that the basis of revocation, suspension or voluntary surrender of the respondent’s license no longer exists and that it will be in the public interest for the license to be reinstated. Compliance with rule </w:t>
      </w:r>
      <w:hyperlink r:id="rId75">
        <w:r>
          <w:rPr>
            <w:rStyle w:val="Hyperlink"/>
            <w:rFonts w:ascii="Times New Roman" w:hAnsi="Times New Roman"/>
            <w:b w:val="false"/>
            <w:i w:val="false"/>
            <w:color w:val="000000"/>
            <w:sz w:val="22"/>
          </w:rPr>
          <w:t>481—435.31</w:t>
        </w:r>
      </w:hyperlink>
      <w:r>
        <w:rPr>
          <w:rFonts w:ascii="Times New Roman" w:hAnsi="Times New Roman"/>
          <w:b w:val="false"/>
          <w:i w:val="false"/>
          <w:color w:val="000000"/>
          <w:sz w:val="22"/>
        </w:rPr>
        <w:t>(17A,272C) must also be established.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435.40(6)</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will incorporate findings of fact and conclusions of law and be based upon the affirmative vote of no fewer than a majority of the board. This order will be published as provided for in subrule </w:t>
      </w:r>
      <w:hyperlink r:id="rId76">
        <w:r>
          <w:rPr>
            <w:rStyle w:val="Hyperlink"/>
            <w:rFonts w:ascii="Times New Roman" w:hAnsi="Times New Roman"/>
            <w:b w:val="false"/>
            <w:i w:val="false"/>
            <w:color w:val="000000"/>
            <w:sz w:val="22"/>
          </w:rPr>
          <w:t>435.30(1)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9057B</w:t>
      </w:r>
      <w:r>
        <w:rPr>
          <w:rFonts w:ascii="Times New Roman" w:hAnsi="Times New Roman"/>
          <w:b w:val="false"/>
          <w:i w:val="false"/>
          <w:color w:val="000000"/>
          <w:sz w:val="21"/>
        </w:rPr>
        <w:t xml:space="preserve"> (Notice ARC 8861B, IAB 6/16/10)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1223C</w:t>
      </w:r>
      <w:r>
        <w:rPr>
          <w:rFonts w:ascii="Times New Roman" w:hAnsi="Times New Roman"/>
          <w:b w:val="false"/>
          <w:i w:val="false"/>
          <w:color w:val="000000"/>
          <w:sz w:val="21"/>
        </w:rPr>
        <w:t xml:space="preserve"> (Notice ARC 0931C,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7999C</w:t>
      </w:r>
      <w:r>
        <w:rPr>
          <w:rFonts w:ascii="Times New Roman" w:hAnsi="Times New Roman"/>
          <w:b w:val="false"/>
          <w:i w:val="false"/>
          <w:color w:val="000000"/>
          <w:sz w:val="21"/>
        </w:rPr>
        <w:t xml:space="preserve"> (Notice ARC 7319C,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ac/rule/481.435.23.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481.435.13.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ac/rule/481.435.29.pdf" Type="http://schemas.openxmlformats.org/officeDocument/2006/relationships/hyperlink" Id="rId19"/>
    <Relationship TargetMode="External" Target="https://www.legis.iowa.gov/docs/iac/rule/481.435.10.pdf" Type="http://schemas.openxmlformats.org/officeDocument/2006/relationships/hyperlink" Id="rId20"/>
    <Relationship TargetMode="External" Target="https://www.legis.iowa.gov/docs/iac/rule/481.435.10.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481.435.27.pdf" Type="http://schemas.openxmlformats.org/officeDocument/2006/relationships/hyperlink" Id="rId23"/>
    <Relationship TargetMode="External" Target="https://www.legis.iowa.gov/docs/iac/rule/481.433.7.pdf" Type="http://schemas.openxmlformats.org/officeDocument/2006/relationships/hyperlink" Id="rId24"/>
    <Relationship TargetMode="External" Target="https://www.legis.iowa.gov/docs/ico/chapter/17A.16.pdf" Type="http://schemas.openxmlformats.org/officeDocument/2006/relationships/hyperlink" Id="rId25"/>
    <Relationship TargetMode="External" Target="https://www.legis.iowa.gov/docs/iac/rule/481.435.15.pdf" Type="http://schemas.openxmlformats.org/officeDocument/2006/relationships/hyperlink" Id="rId26"/>
    <Relationship TargetMode="External" Target="https://www.legis.iowa.gov/docs/iac/rule/481.433.5.pdf" Type="http://schemas.openxmlformats.org/officeDocument/2006/relationships/hyperlink" Id="rId27"/>
    <Relationship TargetMode="External" Target="https://www.legis.iowa.gov/docs/iac/rule/481.433.5.pdf" Type="http://schemas.openxmlformats.org/officeDocument/2006/relationships/hyperlink" Id="rId28"/>
    <Relationship TargetMode="External" Target="https://www.legis.iowa.gov/docs/iac/rule/481.435.29.pdf" Type="http://schemas.openxmlformats.org/officeDocument/2006/relationships/hyperlink" Id="rId29"/>
    <Relationship TargetMode="External" Target="https://www.legis.iowa.gov/docs/iac/rule/481.435.32.pdf" Type="http://schemas.openxmlformats.org/officeDocument/2006/relationships/hyperlink" Id="rId30"/>
    <Relationship TargetMode="External" Target="https://www.legis.iowa.gov/docs/iac/rule/481.435.30.pdf" Type="http://schemas.openxmlformats.org/officeDocument/2006/relationships/hyperlink" Id="rId31"/>
    <Relationship TargetMode="External" Target="https://www.legis.iowa.gov/docs/ico/chapter/17A.17.pdf" Type="http://schemas.openxmlformats.org/officeDocument/2006/relationships/hyperlink" Id="rId32"/>
    <Relationship TargetMode="External" Target="https://www.legis.iowa.gov/docs/iac/rule/481.435.27.pdf" Type="http://schemas.openxmlformats.org/officeDocument/2006/relationships/hyperlink" Id="rId33"/>
    <Relationship TargetMode="External" Target="https://www.legis.iowa.gov/docs/iac/rule/481.435.30.pdf" Type="http://schemas.openxmlformats.org/officeDocument/2006/relationships/hyperlink" Id="rId34"/>
    <Relationship TargetMode="External" Target="https://www.legis.iowa.gov/docs/iac/rule/481.435.40.pdf" Type="http://schemas.openxmlformats.org/officeDocument/2006/relationships/hyperlink" Id="rId35"/>
    <Relationship TargetMode="External" Target="https://www.legis.iowa.gov/docs/iac/rule/481.435.36.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481.435.30.pdf" Type="http://schemas.openxmlformats.org/officeDocument/2006/relationships/hyperlink" Id="rId38"/>
    <Relationship TargetMode="External" Target="https://www.legis.iowa.gov/docs/iac/rule/481.435.29.pdf" Type="http://schemas.openxmlformats.org/officeDocument/2006/relationships/hyperlink" Id="rId39"/>
    <Relationship TargetMode="External" Target="https://www.legis.iowa.gov/docs/iac/rule/481.435.33.pdf" Type="http://schemas.openxmlformats.org/officeDocument/2006/relationships/hyperlink" Id="rId40"/>
    <Relationship TargetMode="External" Target="https://www.legis.iowa.gov/docs/iac/rule/481.435.11.pdf" Type="http://schemas.openxmlformats.org/officeDocument/2006/relationships/hyperlink" Id="rId41"/>
    <Relationship TargetMode="External" Target="https://www.legis.iowa.gov/docs/iac/rule/481.435.14.pdf" Type="http://schemas.openxmlformats.org/officeDocument/2006/relationships/hyperlink" Id="rId42"/>
    <Relationship TargetMode="External" Target="https://www.legis.iowa.gov/docs/iac/rule/481.435.11.pdf" Type="http://schemas.openxmlformats.org/officeDocument/2006/relationships/hyperlink" Id="rId43"/>
    <Relationship TargetMode="External" Target="https://www.legis.iowa.gov/docs/iac/rule/481.435.22.pdf" Type="http://schemas.openxmlformats.org/officeDocument/2006/relationships/hyperlink" Id="rId44"/>
    <Relationship TargetMode="External" Target="https://www.legis.iowa.gov/docs/ico/chapter/17A.13.pdf" Type="http://schemas.openxmlformats.org/officeDocument/2006/relationships/hyperlink" Id="rId45"/>
    <Relationship TargetMode="External" Target="https://www.legis.iowa.gov/docs/iac/rule/481.435.14.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ac/rule/481.435.30.pdf" Type="http://schemas.openxmlformats.org/officeDocument/2006/relationships/hyperlink" Id="rId48"/>
    <Relationship TargetMode="External" Target="https://www.legis.iowa.gov/docs/iac/rule/641.33.30.pdf" Type="http://schemas.openxmlformats.org/officeDocument/2006/relationships/hyperlink" Id="rId49"/>
    <Relationship TargetMode="External" Target="https://www.legis.iowa.gov/docs/iac/rule/641.33.30.pdf" Type="http://schemas.openxmlformats.org/officeDocument/2006/relationships/hyperlink" Id="rId50"/>
    <Relationship TargetMode="External" Target="https://www.legis.iowa.gov/docs/iac/rule/481.435.30.pdf" Type="http://schemas.openxmlformats.org/officeDocument/2006/relationships/hyperlink" Id="rId51"/>
    <Relationship TargetMode="External" Target="https://www.legis.iowa.gov/docs/iac/rule/481.435.31.pdf" Type="http://schemas.openxmlformats.org/officeDocument/2006/relationships/hyperlink" Id="rId52"/>
    <Relationship TargetMode="External" Target="https://www.legis.iowa.gov/docs/iac/rule/481.435.30.pdf" Type="http://schemas.openxmlformats.org/officeDocument/2006/relationships/hyperlink" Id="rId53"/>
    <Relationship TargetMode="External" Target="https://www.legis.iowa.gov/docs/ico/chapter/17A.19.pdf" Type="http://schemas.openxmlformats.org/officeDocument/2006/relationships/hyperlink" Id="rId54"/>
    <Relationship TargetMode="External" Target="https://www.legis.iowa.gov/docs/ico/chapter/17A.18A.pdf" Type="http://schemas.openxmlformats.org/officeDocument/2006/relationships/hyperlink" Id="rId55"/>
    <Relationship TargetMode="External" Target="https://www.legis.iowa.gov/docs/iac/rule/481.435.37.pdf" Type="http://schemas.openxmlformats.org/officeDocument/2006/relationships/hyperlink" Id="rId56"/>
    <Relationship TargetMode="External" Target="https://www.legis.iowa.gov/docs/iac/rule/481.435.10.pdf" Type="http://schemas.openxmlformats.org/officeDocument/2006/relationships/hyperlink" Id="rId57"/>
    <Relationship TargetMode="External" Target="https://www.legis.iowa.gov/docs/iac/rule/481.435.30.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17A.19.pdf" Type="http://schemas.openxmlformats.org/officeDocument/2006/relationships/hyperlink" Id="rId60"/>
    <Relationship TargetMode="External" Target="https://www.legis.iowa.gov/docs/iac/rule/481.435.36.pdf" Type="http://schemas.openxmlformats.org/officeDocument/2006/relationships/hyperlink" Id="rId61"/>
    <Relationship TargetMode="External" Target="https://www.legis.iowa.gov/docs/iac/rule/481.435.36.pdf" Type="http://schemas.openxmlformats.org/officeDocument/2006/relationships/hyperlink" Id="rId62"/>
    <Relationship TargetMode="External" Target="https://www.legis.iowa.gov/docs/iac/rule/481.435.36.pdf" Type="http://schemas.openxmlformats.org/officeDocument/2006/relationships/hyperlink" Id="rId63"/>
    <Relationship TargetMode="External" Target="https://www.legis.iowa.gov/docs/ico/chapter/17A.18.pdf" Type="http://schemas.openxmlformats.org/officeDocument/2006/relationships/hyperlink" Id="rId64"/>
    <Relationship TargetMode="External" Target="https://www.legis.iowa.gov/docs/ico/chapter/17A.18.pdf" Type="http://schemas.openxmlformats.org/officeDocument/2006/relationships/hyperlink" Id="rId65"/>
    <Relationship TargetMode="External" Target="https://www.legis.iowa.gov/docs/ico/chapter/272C.6.pdf" Type="http://schemas.openxmlformats.org/officeDocument/2006/relationships/hyperlink" Id="rId66"/>
    <Relationship TargetMode="External" Target="https://www.legis.iowa.gov/docs/ico/chapter/17A.12.pdf" Type="http://schemas.openxmlformats.org/officeDocument/2006/relationships/hyperlink" Id="rId67"/>
    <Relationship TargetMode="External" Target="https://www.legis.iowa.gov/docs/ico/chapter/622.69.pdf" Type="http://schemas.openxmlformats.org/officeDocument/2006/relationships/hyperlink" Id="rId68"/>
    <Relationship TargetMode="External" Target="https://www.legis.iowa.gov/docs/ico/chapter/622.72.pdf" Type="http://schemas.openxmlformats.org/officeDocument/2006/relationships/hyperlink" Id="rId69"/>
    <Relationship TargetMode="External" Target="https://www.legis.iowa.gov/docs/ico/chapter/625.2.pdf" Type="http://schemas.openxmlformats.org/officeDocument/2006/relationships/hyperlink" Id="rId70"/>
    <Relationship TargetMode="External" Target="https://www.legis.iowa.gov/docs/ico/chapter/622.74.pdf" Type="http://schemas.openxmlformats.org/officeDocument/2006/relationships/hyperlink" Id="rId71"/>
    <Relationship TargetMode="External" Target="https://www.legis.iowa.gov/docs/ico/chapter/8.2.pdf" Type="http://schemas.openxmlformats.org/officeDocument/2006/relationships/hyperlink" Id="rId72"/>
    <Relationship TargetMode="External" Target="https://www.legis.iowa.gov/docs/ico/chapter/272C.3.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ac/rule/481.435.31.pdf" Type="http://schemas.openxmlformats.org/officeDocument/2006/relationships/hyperlink" Id="rId75"/>
    <Relationship TargetMode="External" Target="https://www.legis.iowa.gov/docs/iac/rule/481.435.30.pdf" Type="http://schemas.openxmlformats.org/officeDocument/2006/relationships/hyperlink" Id="rId76"/>
    <Relationship TargetMode="External" Target="https://www.legis.iowa.gov/docs/ico/chapter/17A.pdf" Type="http://schemas.openxmlformats.org/officeDocument/2006/relationships/hyperlink" Id="rId77"/>
    <Relationship TargetMode="External" Target="https://www.legis.iowa.gov/docs/ico/chapter/105.pdf" Type="http://schemas.openxmlformats.org/officeDocument/2006/relationships/hyperlink" Id="rId78"/>
    <Relationship TargetMode="External" Target="https://www.legis.iowa.gov/docs/ico/chapter/272C.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