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434</w:t>
      </w:r>
    </w:p>
    <w:p>
      <w:pPr>
        <w:spacing w:before="0" w:after="0"/>
        <w:ind w:left="120"/>
        <w:jc w:val="center"/>
      </w:pPr>
      <w:r>
        <w:rPr>
          <w:rFonts w:ascii="Times New Roman" w:hAnsi="Times New Roman"/>
          <w:b w:val="false"/>
          <w:i w:val="false"/>
          <w:color w:val="000000"/>
          <w:sz w:val="21"/>
        </w:rPr>
        <w:t>PLUMBING AND MECHANICAL SYSTEMS BOARD—LICENSEE DISCIPLINE</w:t>
      </w:r>
    </w:p>
    <w:p>
      <w:pPr>
        <w:spacing w:before="0" w:after="0"/>
        <w:ind w:left="120"/>
        <w:jc w:val="center"/>
      </w:pPr>
      <w:r>
        <w:rPr>
          <w:rFonts w:ascii="Times New Roman" w:hAnsi="Times New Roman"/>
          <w:b w:val="false"/>
          <w:i w:val="false"/>
          <w:color w:val="000000"/>
          <w:sz w:val="14"/>
        </w:rPr>
        <w:t>[Prior to 4/2/25, see Public Health Department[641]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481—434.1</w:t>
      </w:r>
      <w:r>
        <w:rPr>
          <w:rFonts w:ascii="Times New Roman" w:hAnsi="Times New Roman"/>
          <w:b/>
          <w:i w:val="false"/>
          <w:color w:val="000000"/>
          <w:sz w:val="22"/>
        </w:rPr>
        <w:t xml:space="preserve">(105,272C)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 xml:space="preserve">means the same as Iowa Code section </w:t>
      </w:r>
      <w:hyperlink r:id="rId7">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the same as in </w:t>
      </w:r>
      <w:hyperlink r:id="rId8">
        <w:r>
          <w:rPr>
            <w:rStyle w:val="Hyperlink"/>
            <w:rFonts w:ascii="Times New Roman" w:hAnsi="Times New Roman"/>
            <w:b w:val="false"/>
            <w:i w:val="false"/>
            <w:color w:val="000000"/>
            <w:sz w:val="22"/>
          </w:rPr>
          <w:t>481—Chapter 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pursuant to Iowa Code chapter </w:t>
      </w:r>
      <w:hyperlink r:id="rId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481—434.2</w:t>
      </w:r>
      <w:r>
        <w:rPr>
          <w:rFonts w:ascii="Times New Roman" w:hAnsi="Times New Roman"/>
          <w:b/>
          <w:i w:val="false"/>
          <w:color w:val="000000"/>
          <w:sz w:val="22"/>
        </w:rPr>
        <w:t xml:space="preserve">(105,272C)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10">
        <w:r>
          <w:rPr>
            <w:rStyle w:val="Hyperlink"/>
            <w:rFonts w:ascii="Times New Roman" w:hAnsi="Times New Roman"/>
            <w:b w:val="false"/>
            <w:i w:val="false"/>
            <w:color w:val="000000"/>
            <w:sz w:val="22"/>
          </w:rPr>
          <w:t>481—434.3(105,272C)</w:t>
        </w:r>
      </w:hyperlink>
      <w:r>
        <w:rPr>
          <w:rFonts w:ascii="Times New Roman" w:hAnsi="Times New Roman"/>
          <w:b w:val="false"/>
          <w:i w:val="false"/>
          <w:color w:val="000000"/>
          <w:sz w:val="22"/>
        </w:rPr>
        <w:t xml:space="preserve">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applicable licensed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others licensed in the applicable trade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the applicable trade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in the trade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434.2(4)</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434.2(5)</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in the courts of this state or another state, territory, or country. A file-stamped copy of the final order or judgment or conviction or plea of guilty in this state or another state, territory, or country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434.2(8)</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434.2(9)</w:t>
      </w:r>
      <w:r>
        <w:rPr>
          <w:rFonts w:ascii="Times New Roman" w:hAnsi="Times New Roman"/>
          <w:b w:val="false"/>
          <w:i w:val="false"/>
          <w:color w:val="000000"/>
          <w:sz w:val="22"/>
        </w:rPr>
        <w:t> </w:t>
      </w:r>
      <w:r>
        <w:rPr>
          <w:rFonts w:ascii="Times New Roman" w:hAnsi="Times New Roman"/>
          <w:b w:val="false"/>
          <w:i w:val="false"/>
          <w:color w:val="000000"/>
          <w:sz w:val="22"/>
        </w:rPr>
        <w:t>Violation of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434.2(10)</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a state debt as evidenced by a certificate of noncompliance issued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434.2(11)</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wall certificate, wallet card, or license number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submit the requested materials in response to a compliance review conducted pursuant to rule </w:t>
      </w:r>
      <w:hyperlink r:id="rId15">
        <w:r>
          <w:rPr>
            <w:rStyle w:val="Hyperlink"/>
            <w:rFonts w:ascii="Times New Roman" w:hAnsi="Times New Roman"/>
            <w:b w:val="false"/>
            <w:i w:val="false"/>
            <w:color w:val="000000"/>
            <w:sz w:val="22"/>
          </w:rPr>
          <w:t>481—432.5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434.2(13)</w:t>
      </w:r>
      <w:r>
        <w:rPr>
          <w:rFonts w:ascii="Times New Roman" w:hAnsi="Times New Roman"/>
          <w:b w:val="false"/>
          <w:i w:val="false"/>
          <w:color w:val="000000"/>
          <w:sz w:val="22"/>
        </w:rPr>
        <w:t> </w:t>
      </w:r>
      <w:r>
        <w:rPr>
          <w:rFonts w:ascii="Times New Roman" w:hAnsi="Times New Roman"/>
          <w:b w:val="false"/>
          <w:i w:val="false"/>
          <w:color w:val="000000"/>
          <w:sz w:val="22"/>
        </w:rPr>
        <w:t>Failure to meet the continuing education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434.2(14)</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434.2(15)</w:t>
      </w:r>
      <w:r>
        <w:rPr>
          <w:rFonts w:ascii="Times New Roman" w:hAnsi="Times New Roman"/>
          <w:b w:val="false"/>
          <w:i w:val="false"/>
          <w:color w:val="000000"/>
          <w:sz w:val="22"/>
        </w:rPr>
        <w:t> </w:t>
      </w:r>
      <w:r>
        <w:rPr>
          <w:rFonts w:ascii="Times New Roman" w:hAnsi="Times New Roman"/>
          <w:b w:val="false"/>
          <w:i w:val="false"/>
          <w:color w:val="000000"/>
          <w:sz w:val="22"/>
        </w:rPr>
        <w:t>Failure to pay any outstanding fees or costs owed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434.2(16)</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trade. Negligence by the licensee in the practice of the trade includes a failure to exercise due care, including negligent delegation of duties or supervision of employees or other individuals, whether or not injury results; or any conduct, practice, or conditions that impair the ability to safely and skillfully practice the trade.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434.2(18)</w:t>
      </w:r>
      <w:r>
        <w:rPr>
          <w:rFonts w:ascii="Times New Roman" w:hAnsi="Times New Roman"/>
          <w:b w:val="false"/>
          <w:i w:val="false"/>
          <w:color w:val="000000"/>
          <w:sz w:val="22"/>
        </w:rPr>
        <w:t> </w:t>
      </w:r>
      <w:r>
        <w:rPr>
          <w:rFonts w:ascii="Times New Roman" w:hAnsi="Times New Roman"/>
          <w:b w:val="false"/>
          <w:i w:val="false"/>
          <w:color w:val="000000"/>
          <w:sz w:val="22"/>
        </w:rPr>
        <w:t>Violation of a law, ordinance, or regulation of this state, or a political subdivision therein, another state, or the United States, which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434.2(19)</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or failure by the licensee to report in writing to the board revocation, suspension, or other disciplinary action taken by a licensing authority within 30 days of the final action. A stay by an appellate court does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434.2(20)</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practice in the trade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434.2(21)</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434.2(22)</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the occurrence of any judgment entered on or settlement of a claim or action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434.2(23)</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otherwise fail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1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434.2(27)</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or advising a person to unlawfully practice a trade included in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434.2(28)</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in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434.2(29)</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tradesperson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434.2(30)</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434.2(31)</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necessitating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434.2(32)</w:t>
      </w:r>
      <w:r>
        <w:rPr>
          <w:rFonts w:ascii="Times New Roman" w:hAnsi="Times New Roman"/>
          <w:b w:val="false"/>
          <w:i w:val="false"/>
          <w:color w:val="000000"/>
          <w:sz w:val="22"/>
        </w:rPr>
        <w:t> </w:t>
      </w:r>
      <w:r>
        <w:rPr>
          <w:rFonts w:ascii="Times New Roman" w:hAnsi="Times New Roman"/>
          <w:b w:val="false"/>
          <w:i w:val="false"/>
          <w:color w:val="000000"/>
          <w:sz w:val="22"/>
        </w:rPr>
        <w:t>Failure to apply and obtain a permit prior to performing work, if mandated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434.2(33)</w:t>
      </w:r>
      <w:r>
        <w:rPr>
          <w:rFonts w:ascii="Times New Roman" w:hAnsi="Times New Roman"/>
          <w:b w:val="false"/>
          <w:i w:val="false"/>
          <w:color w:val="000000"/>
          <w:sz w:val="22"/>
        </w:rPr>
        <w:t> </w:t>
      </w:r>
      <w:r>
        <w:rPr>
          <w:rFonts w:ascii="Times New Roman" w:hAnsi="Times New Roman"/>
          <w:b w:val="false"/>
          <w:i w:val="false"/>
          <w:color w:val="000000"/>
          <w:sz w:val="22"/>
        </w:rPr>
        <w:t>Failure to pay all inspection fees,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434.2(34)</w:t>
      </w:r>
      <w:r>
        <w:rPr>
          <w:rFonts w:ascii="Times New Roman" w:hAnsi="Times New Roman"/>
          <w:b w:val="false"/>
          <w:i w:val="false"/>
          <w:color w:val="000000"/>
          <w:sz w:val="22"/>
        </w:rPr>
        <w:t> </w:t>
      </w:r>
      <w:r>
        <w:rPr>
          <w:rFonts w:ascii="Times New Roman" w:hAnsi="Times New Roman"/>
          <w:b w:val="false"/>
          <w:i w:val="false"/>
          <w:color w:val="000000"/>
          <w:sz w:val="22"/>
        </w:rPr>
        <w:t>Failure to pay a permit fee,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434.2(35)</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license, which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journeyperson without the supervision of a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in a trade for which the licensee does not hold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Contracting for plumbing or mechanical work in the state of Iowa without a board-issued contractor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434.2(36)</w:t>
      </w:r>
      <w:r>
        <w:rPr>
          <w:rFonts w:ascii="Times New Roman" w:hAnsi="Times New Roman"/>
          <w:b w:val="false"/>
          <w:i w:val="false"/>
          <w:color w:val="000000"/>
          <w:sz w:val="22"/>
        </w:rPr>
        <w:t> </w:t>
      </w:r>
      <w:r>
        <w:rPr>
          <w:rFonts w:ascii="Times New Roman" w:hAnsi="Times New Roman"/>
          <w:b w:val="false"/>
          <w:i w:val="false"/>
          <w:color w:val="000000"/>
          <w:sz w:val="22"/>
        </w:rPr>
        <w:t>Practicing on a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434.2(37)</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contractor without valid bonding or insurance, as mandated by Iowa Code section </w:t>
      </w:r>
      <w:hyperlink r:id="rId18">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481—434.3</w:t>
      </w:r>
      <w:r>
        <w:rPr>
          <w:rFonts w:ascii="Times New Roman" w:hAnsi="Times New Roman"/>
          <w:b/>
          <w:i w:val="false"/>
          <w:color w:val="000000"/>
          <w:sz w:val="22"/>
        </w:rPr>
        <w:t xml:space="preserve">(105,272C)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Suspension of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Mandate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Mandate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Impose civil penalties not to exceed $5,000.</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481—434.5</w:t>
      </w:r>
      <w:r>
        <w:rPr>
          <w:rFonts w:ascii="Times New Roman" w:hAnsi="Times New Roman"/>
          <w:b/>
          <w:i w:val="false"/>
          <w:color w:val="000000"/>
          <w:sz w:val="22"/>
        </w:rPr>
        <w:t xml:space="preserve">(105) </w:t>
      </w:r>
      <w:r>
        <w:rPr>
          <w:rFonts w:ascii="Times New Roman" w:hAnsi="Times New Roman"/>
          <w:b/>
          <w:i w:val="false"/>
          <w:color w:val="000000"/>
          <w:sz w:val="22"/>
        </w:rPr>
        <w:t xml:space="preserve">Civil penalties—unlicensed penalties.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19">
        <w:r>
          <w:rPr>
            <w:rStyle w:val="Hyperlink"/>
            <w:rFonts w:ascii="Times New Roman" w:hAnsi="Times New Roman"/>
            <w:b w:val="false"/>
            <w:i w:val="false"/>
            <w:color w:val="000000"/>
            <w:sz w:val="22"/>
          </w:rPr>
          <w:t>105.27(1)</w:t>
        </w:r>
      </w:hyperlink>
      <w:r>
        <w:rPr>
          <w:rFonts w:ascii="Times New Roman" w:hAnsi="Times New Roman"/>
          <w:b w:val="false"/>
          <w:i w:val="false"/>
          <w:color w:val="000000"/>
          <w:sz w:val="22"/>
        </w:rPr>
        <w:t xml:space="preserve">. In addition to the procedures set forth in Iowa Code chapters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chapter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434.5(1)</w:t>
      </w:r>
      <w:r>
        <w:rPr>
          <w:rFonts w:ascii="Times New Roman" w:hAnsi="Times New Roman"/>
          <w:b w:val="false"/>
          <w:i w:val="false"/>
          <w:color w:val="000000"/>
          <w:sz w:val="22"/>
        </w:rPr>
        <w:t> </w:t>
      </w:r>
      <w:r>
        <w:rPr>
          <w:rFonts w:ascii="Times New Roman" w:hAnsi="Times New Roman"/>
          <w:b w:val="false"/>
          <w:i/>
          <w:color w:val="000000"/>
          <w:sz w:val="22"/>
        </w:rPr>
        <w:t xml:space="preserve">Unlawful practices. </w:t>
      </w:r>
      <w:r>
        <w:rPr>
          <w:rFonts w:ascii="Times New Roman" w:hAnsi="Times New Roman"/>
          <w:b w:val="false"/>
          <w:i w:val="false"/>
          <w:color w:val="000000"/>
          <w:sz w:val="22"/>
        </w:rPr>
        <w:t>Practices by an unlicensed person which are subject to civil penalties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licensure to install or repair plumbing, mechanical, HVAC, refrigeration, sheet metal, or hydronic systems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certification to install or repair medical gas piping systems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business of designing, installing, or repairing plumbing, mechanical, HVAC, refrigeration, sheet metal, or hydronic systems without employing a licensed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plumbing, mechanical, HVAC, refrigeration, sheet metal, or hydronic systems services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or attempted use of a licensee’s certificate or wallet card or use or attempted use of an expired, suspended, revoked, or nonexistent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Falsely impersonating a person licensed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violations of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or abetting an unlicensed person or establishment in any activity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434.5(2)</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2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chapters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Complaint and investigatory files concerning nonlicensees are not confidential except as may be provided in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the board is authorized in connection with an investigation of an unlicensed person to issue subpoenas to compel persons to testify and to compel persons to produce books, papers, records and any other real evidence, whether or not privileged or confidential under law, which the board deems necessary as evidence in connection with the civil penalty proceeding or relevant to the decision of whether to initiate a civil penalty proceeding. Board procedures concerning investigative subpoenas are set forth in rule </w:t>
      </w:r>
      <w:hyperlink r:id="rId32">
        <w:r>
          <w:rPr>
            <w:rStyle w:val="Hyperlink"/>
            <w:rFonts w:ascii="Times New Roman" w:hAnsi="Times New Roman"/>
            <w:b w:val="false"/>
            <w:i w:val="false"/>
            <w:color w:val="000000"/>
            <w:sz w:val="22"/>
          </w:rPr>
          <w:t>481—433.5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434.5(4)</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impose civil penalties. </w:t>
      </w:r>
      <w:r>
        <w:rPr>
          <w:rFonts w:ascii="Times New Roman" w:hAnsi="Times New Roman"/>
          <w:b w:val="false"/>
          <w:i w:val="false"/>
          <w:color w:val="000000"/>
          <w:sz w:val="22"/>
        </w:rPr>
        <w:t xml:space="preserve">Notice of the board’s intent to order compliance with Iowa Code chapter </w:t>
      </w:r>
      <w:hyperlink r:id="rId3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impose a civil penalty will be served upon the nonlicensee by restricted certified mail, return receipt requested, or by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 and the nature of the intended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the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must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434.5(5)</w:t>
      </w:r>
      <w:r>
        <w:rPr>
          <w:rFonts w:ascii="Times New Roman" w:hAnsi="Times New Roman"/>
          <w:b w:val="false"/>
          <w:i w:val="false"/>
          <w:color w:val="000000"/>
          <w:sz w:val="22"/>
        </w:rPr>
        <w:t> </w:t>
      </w:r>
      <w:r>
        <w:rPr>
          <w:rFonts w:ascii="Times New Roman" w:hAnsi="Times New Roman"/>
          <w:b w:val="false"/>
          <w:i/>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Rule of Civil Procedure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or if the nonlicensee waives in writing the right to hearing and agrees to pay the penalty, the board chairperson, the chairperson’s designee, or the board executive may issue an order imposing the civil penalty and requiring compliance with Iowa Code chapter </w:t>
      </w:r>
      <w:hyperlink r:id="rId3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issuance of a notice of hearing under this subrule, the settlement agreement provisions of rule </w:t>
      </w:r>
      <w:hyperlink r:id="rId35">
        <w:r>
          <w:rPr>
            <w:rStyle w:val="Hyperlink"/>
            <w:rFonts w:ascii="Times New Roman" w:hAnsi="Times New Roman"/>
            <w:b w:val="false"/>
            <w:i w:val="false"/>
            <w:color w:val="000000"/>
            <w:sz w:val="22"/>
          </w:rPr>
          <w:t>481—435.23</w:t>
        </w:r>
      </w:hyperlink>
      <w:r>
        <w:rPr>
          <w:rFonts w:ascii="Times New Roman" w:hAnsi="Times New Roman"/>
          <w:b w:val="false"/>
          <w:i w:val="false"/>
          <w:color w:val="000000"/>
          <w:sz w:val="22"/>
        </w:rPr>
        <w:t>(272C)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pursuant to Iowa Code chapter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published. Hearings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434.5(6)</w:t>
      </w:r>
      <w:r>
        <w:rPr>
          <w:rFonts w:ascii="Times New Roman" w:hAnsi="Times New Roman"/>
          <w:b w:val="false"/>
          <w:i w:val="false"/>
          <w:color w:val="000000"/>
          <w:sz w:val="22"/>
        </w:rPr>
        <w:t> </w:t>
      </w:r>
      <w:r>
        <w:rPr>
          <w:rFonts w:ascii="Times New Roman" w:hAnsi="Times New Roman"/>
          <w:b w:val="false"/>
          <w:i/>
          <w:color w:val="000000"/>
          <w:sz w:val="22"/>
        </w:rPr>
        <w:t xml:space="preserve">Factors for board consideration.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434.5(7)</w:t>
      </w:r>
      <w:r>
        <w:rPr>
          <w:rFonts w:ascii="Times New Roman" w:hAnsi="Times New Roman"/>
          <w:b w:val="false"/>
          <w:i w:val="false"/>
          <w:color w:val="000000"/>
          <w:sz w:val="22"/>
        </w:rPr>
        <w:t> </w:t>
      </w:r>
      <w:r>
        <w:rPr>
          <w:rFonts w:ascii="Times New Roman" w:hAnsi="Times New Roman"/>
          <w:b w:val="false"/>
          <w:i/>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board may seek an injunction in district court, refer the matter for criminal prosecution, or enter into a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3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action to enforce an order under this rule may be joined with an action for an injunction pursuant to Iowa Code section </w:t>
      </w:r>
      <w:hyperlink r:id="rId38">
        <w:r>
          <w:rPr>
            <w:rStyle w:val="Hyperlink"/>
            <w:rFonts w:ascii="Times New Roman" w:hAnsi="Times New Roman"/>
            <w:b w:val="false"/>
            <w:i w:val="false"/>
            <w:color w:val="000000"/>
            <w:sz w:val="22"/>
          </w:rPr>
          <w:t>105.27(4)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481—434.6</w:t>
      </w:r>
      <w:r>
        <w:rPr>
          <w:rFonts w:ascii="Times New Roman" w:hAnsi="Times New Roman"/>
          <w:b/>
          <w:i w:val="false"/>
          <w:color w:val="000000"/>
          <w:sz w:val="22"/>
        </w:rPr>
        <w:t xml:space="preserve">(105,272C) </w:t>
      </w:r>
      <w:r>
        <w:rPr>
          <w:rFonts w:ascii="Times New Roman" w:hAnsi="Times New Roman"/>
          <w:b/>
          <w:i w:val="false"/>
          <w:color w:val="000000"/>
          <w:sz w:val="22"/>
        </w:rPr>
        <w:t xml:space="preserve">Collection of delinquent civil penalties and discipline-related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participate in an income setoff program administered by the department of revenue in accordance with Iowa Code section </w:t>
      </w:r>
      <w:hyperlink r:id="rId39">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any person who owes a debt to the board as a result of a proceeding in which notice and opportunity to be heard was afforded.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offset program” </w:t>
      </w:r>
      <w:r>
        <w:rPr>
          <w:rFonts w:ascii="Times New Roman" w:hAnsi="Times New Roman"/>
          <w:b w:val="false"/>
          <w:i w:val="false"/>
          <w:color w:val="000000"/>
          <w:sz w:val="22"/>
        </w:rPr>
        <w:t xml:space="preserve">means the program established in Iowa Code section </w:t>
      </w:r>
      <w:hyperlink r:id="rId4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any rules promulgated thereunder through which the department of revenue coordinates with state agencies to satisfy liabilities owed to those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434.6(3)</w:t>
      </w:r>
      <w:r>
        <w:rPr>
          <w:rFonts w:ascii="Times New Roman" w:hAnsi="Times New Roman"/>
          <w:b w:val="false"/>
          <w:i w:val="false"/>
          <w:color w:val="000000"/>
          <w:sz w:val="22"/>
        </w:rPr>
        <w:t> </w:t>
      </w:r>
      <w:r>
        <w:rPr>
          <w:rFonts w:ascii="Times New Roman" w:hAnsi="Times New Roman"/>
          <w:b w:val="false"/>
          <w:i w:val="false"/>
          <w:color w:val="000000"/>
          <w:sz w:val="22"/>
        </w:rPr>
        <w:t>The board office may provide the department of administrative services a liability file containing pertinent information for the identification of the debtor and liability, including if the status of a debt changes due to payment of the debt, invalidation of the liability, alternate payment arrangements with the debtor, bankruptcy, or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434.6(4)</w:t>
      </w:r>
      <w:r>
        <w:rPr>
          <w:rFonts w:ascii="Times New Roman" w:hAnsi="Times New Roman"/>
          <w:b w:val="false"/>
          <w:i w:val="false"/>
          <w:color w:val="000000"/>
          <w:sz w:val="22"/>
        </w:rPr>
        <w:t> </w:t>
      </w:r>
      <w:r>
        <w:rPr>
          <w:rFonts w:ascii="Times New Roman" w:hAnsi="Times New Roman"/>
          <w:b w:val="false"/>
          <w:i w:val="false"/>
          <w:color w:val="000000"/>
          <w:sz w:val="22"/>
        </w:rPr>
        <w:t>Due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submitting debtor information to the outstanding liability file, the board office will make a good faith attempt to collect from the debtor. Such attempt will include at least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telephone call requesting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letter to the debtor’s last discernible address requesting payment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letter to the debtor’s last discernible address requesting payment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office will document due diligence and retain such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434.6(5)</w:t>
      </w:r>
      <w:r>
        <w:rPr>
          <w:rFonts w:ascii="Times New Roman" w:hAnsi="Times New Roman"/>
          <w:b w:val="false"/>
          <w:i w:val="false"/>
          <w:color w:val="000000"/>
          <w:sz w:val="22"/>
        </w:rPr>
        <w:t> </w:t>
      </w:r>
      <w:r>
        <w:rPr>
          <w:rFonts w:ascii="Times New Roman" w:hAnsi="Times New Roman"/>
          <w:b w:val="false"/>
          <w:i w:val="false"/>
          <w:color w:val="000000"/>
          <w:sz w:val="22"/>
        </w:rPr>
        <w:t>Notification of offset. Within ten calendar days of receiving notification from the department of revenue that the debtor is entitled to a payment subject to the setoff program, the board office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preoffset notice to the debtor. The preoffset notice will inform the debtor of the amount the department intends to claim, including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board’s right to the payment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board’s right to recover the payment through the setoff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basis of the board’s case in regard to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of the debtor to request, in accordance with subrule </w:t>
      </w:r>
      <w:hyperlink r:id="rId41">
        <w:r>
          <w:rPr>
            <w:rStyle w:val="Hyperlink"/>
            <w:rFonts w:ascii="Times New Roman" w:hAnsi="Times New Roman"/>
            <w:b w:val="false"/>
            <w:i w:val="false"/>
            <w:color w:val="000000"/>
            <w:sz w:val="22"/>
          </w:rPr>
          <w:t>434.6(6)</w:t>
        </w:r>
      </w:hyperlink>
      <w:r>
        <w:rPr>
          <w:rFonts w:ascii="Times New Roman" w:hAnsi="Times New Roman"/>
          <w:b w:val="false"/>
          <w:i w:val="false"/>
          <w:color w:val="000000"/>
          <w:sz w:val="22"/>
        </w:rPr>
        <w:t xml:space="preserve"> and within 15 days of the mailing of the preoffset notice, a split of the payment between parties when the payment in question is jointly owned or otherwise owned by two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debtor’s right to appeal the offset, in accordance with subrule </w:t>
      </w:r>
      <w:hyperlink r:id="rId42">
        <w:r>
          <w:rPr>
            <w:rStyle w:val="Hyperlink"/>
            <w:rFonts w:ascii="Times New Roman" w:hAnsi="Times New Roman"/>
            <w:b w:val="false"/>
            <w:i w:val="false"/>
            <w:color w:val="000000"/>
            <w:sz w:val="22"/>
          </w:rPr>
          <w:t>434.6(7)</w:t>
        </w:r>
      </w:hyperlink>
      <w:r>
        <w:rPr>
          <w:rFonts w:ascii="Times New Roman" w:hAnsi="Times New Roman"/>
          <w:b w:val="false"/>
          <w:i w:val="false"/>
          <w:color w:val="000000"/>
          <w:sz w:val="22"/>
        </w:rPr>
        <w:t xml:space="preserve"> and within 15 days of the mailing of the preoffset notice, and the procedure to follow in that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office’s contact information in case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revenue that the preoffset notice has been sent to the debtor, and supply a copy of the preoffset notice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434.6(6)</w:t>
      </w:r>
      <w:r>
        <w:rPr>
          <w:rFonts w:ascii="Times New Roman" w:hAnsi="Times New Roman"/>
          <w:b w:val="false"/>
          <w:i w:val="false"/>
          <w:color w:val="000000"/>
          <w:sz w:val="22"/>
        </w:rPr>
        <w:t> </w:t>
      </w:r>
      <w:r>
        <w:rPr>
          <w:rFonts w:ascii="Times New Roman" w:hAnsi="Times New Roman"/>
          <w:b w:val="false"/>
          <w:i w:val="false"/>
          <w:color w:val="000000"/>
          <w:sz w:val="22"/>
        </w:rPr>
        <w:t>Request to divide a jointly or commonly owned right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who receives a preoffset notice may request release of a joint or common owner’s share, if the request is received by the board within 15 days of the date the preoffset notice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conjunction with such a request, the debtor shall provide to the board the full name and social security number of any joint or common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such a request, the board office will notify the department of revenue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434.6(7)</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process. A debtor who receives a preoffset notice may request an appeal of the underlying debt within 15 days of the date the preoffset notice is mailed. A contested case appeal will be conducted pursuant to </w:t>
      </w:r>
      <w:hyperlink r:id="rId43">
        <w:r>
          <w:rPr>
            <w:rStyle w:val="Hyperlink"/>
            <w:rFonts w:ascii="Times New Roman" w:hAnsi="Times New Roman"/>
            <w:b w:val="false"/>
            <w:i w:val="false"/>
            <w:color w:val="000000"/>
            <w:sz w:val="22"/>
          </w:rPr>
          <w:t>481—Chapter 435</w:t>
        </w:r>
      </w:hyperlink>
      <w:r>
        <w:rPr>
          <w:rFonts w:ascii="Times New Roman" w:hAnsi="Times New Roman"/>
          <w:b w:val="false"/>
          <w:i w:val="false"/>
          <w:color w:val="000000"/>
          <w:sz w:val="22"/>
        </w:rPr>
        <w:t>. The board will notify the department of revenue within 45 days of the notification of setoff. The board will hold a payment in abeyance until the final disposition of the contested liability or setoff.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434.6(8)</w:t>
      </w:r>
      <w:r>
        <w:rPr>
          <w:rFonts w:ascii="Times New Roman" w:hAnsi="Times New Roman"/>
          <w:b w:val="false"/>
          <w:i w:val="false"/>
          <w:color w:val="000000"/>
          <w:sz w:val="22"/>
        </w:rPr>
        <w:t> </w:t>
      </w:r>
      <w:r>
        <w:rPr>
          <w:rFonts w:ascii="Times New Roman" w:hAnsi="Times New Roman"/>
          <w:b w:val="false"/>
          <w:i w:val="false"/>
          <w:color w:val="000000"/>
          <w:sz w:val="22"/>
        </w:rPr>
        <w:t>Once any setoff has been completed, the board office will notify the debtor of the action taken and what balance, if any, remains owing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8531B</w:t>
      </w:r>
      <w:r>
        <w:rPr>
          <w:rFonts w:ascii="Times New Roman" w:hAnsi="Times New Roman"/>
          <w:b w:val="false"/>
          <w:i w:val="false"/>
          <w:color w:val="000000"/>
          <w:sz w:val="21"/>
        </w:rPr>
        <w:t xml:space="preserve"> (Notice ARC 8363B,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1222C</w:t>
      </w:r>
      <w:r>
        <w:rPr>
          <w:rFonts w:ascii="Times New Roman" w:hAnsi="Times New Roman"/>
          <w:b w:val="false"/>
          <w:i w:val="false"/>
          <w:color w:val="000000"/>
          <w:sz w:val="21"/>
        </w:rPr>
        <w:t xml:space="preserve"> (Notice ARC 0932C,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5038C</w:t>
      </w:r>
      <w:r>
        <w:rPr>
          <w:rFonts w:ascii="Times New Roman" w:hAnsi="Times New Roman"/>
          <w:b w:val="false"/>
          <w:i w:val="false"/>
          <w:color w:val="000000"/>
          <w:sz w:val="21"/>
        </w:rPr>
        <w:t xml:space="preserve"> (Notice ARC 4943C, IAB 2/26/20)</w:t>
      </w:r>
      <w:r>
        <w:rPr>
          <w:rFonts w:ascii="Times New Roman" w:hAnsi="Times New Roman"/>
          <w:b w:val="false"/>
          <w:i w:val="false"/>
          <w:color w:val="000000"/>
          <w:sz w:val="21"/>
        </w:rPr>
        <w:t>, IAB 5/6/20, effective 6/24/20]</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7998C</w:t>
      </w:r>
      <w:r>
        <w:rPr>
          <w:rFonts w:ascii="Times New Roman" w:hAnsi="Times New Roman"/>
          <w:b w:val="false"/>
          <w:i w:val="false"/>
          <w:color w:val="000000"/>
          <w:sz w:val="21"/>
        </w:rPr>
        <w:t xml:space="preserve"> (Notice ARC 7285C,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ac/chapter/481.429.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chapter/481.429.pdf" Type="http://schemas.openxmlformats.org/officeDocument/2006/relationships/hyperlink" Id="rId8"/>
    <Relationship TargetMode="External" Target="https://www.legis.iowa.gov/docs/ico/chapter/105.pdf" Type="http://schemas.openxmlformats.org/officeDocument/2006/relationships/hyperlink" Id="rId9"/>
    <Relationship TargetMode="External" Target="https://www.legis.iowa.gov/docs/iac/rule/481.434.3.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ac/chapter/481.8.pdf" Type="http://schemas.openxmlformats.org/officeDocument/2006/relationships/hyperlink" Id="rId14"/>
    <Relationship TargetMode="External" Target="https://www.legis.iowa.gov/docs/iac/rule/481.432.5.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19.pdf" Type="http://schemas.openxmlformats.org/officeDocument/2006/relationships/hyperlink" Id="rId18"/>
    <Relationship TargetMode="External" Target="https://www.legis.iowa.gov/docs/ico/chapter/105.27.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481.433.5.pdf" Type="http://schemas.openxmlformats.org/officeDocument/2006/relationships/hyperlink" Id="rId32"/>
    <Relationship TargetMode="External" Target="https://www.legis.iowa.gov/docs/ico/chapter/105.pdf" Type="http://schemas.openxmlformats.org/officeDocument/2006/relationships/hyperlink" Id="rId33"/>
    <Relationship TargetMode="External" Target="https://www.legis.iowa.gov/docs/ico/chapter/105.pdf" Type="http://schemas.openxmlformats.org/officeDocument/2006/relationships/hyperlink" Id="rId34"/>
    <Relationship TargetMode="External" Target="https://www.legis.iowa.gov/docs/iac/rule/481.435.23.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17A.19.pdf" Type="http://schemas.openxmlformats.org/officeDocument/2006/relationships/hyperlink" Id="rId37"/>
    <Relationship TargetMode="External" Target="https://www.legis.iowa.gov/docs/ico/chapter/105.27.pdf" Type="http://schemas.openxmlformats.org/officeDocument/2006/relationships/hyperlink" Id="rId38"/>
    <Relationship TargetMode="External" Target="https://www.legis.iowa.gov/docs/ico/chapter/421.65.pdf" Type="http://schemas.openxmlformats.org/officeDocument/2006/relationships/hyperlink" Id="rId39"/>
    <Relationship TargetMode="External" Target="https://www.legis.iowa.gov/docs/ico/chapter/421.65.pdf" Type="http://schemas.openxmlformats.org/officeDocument/2006/relationships/hyperlink" Id="rId40"/>
    <Relationship TargetMode="External" Target="https://www.legis.iowa.gov/docs/iac/rule/481.434.6.pdf" Type="http://schemas.openxmlformats.org/officeDocument/2006/relationships/hyperlink" Id="rId41"/>
    <Relationship TargetMode="External" Target="https://www.legis.iowa.gov/docs/iac/rule/481.434.6.pdf" Type="http://schemas.openxmlformats.org/officeDocument/2006/relationships/hyperlink" Id="rId42"/>
    <Relationship TargetMode="External" Target="https://www.legis.iowa.gov/docs/iac/chapter/481.435.pdf" Type="http://schemas.openxmlformats.org/officeDocument/2006/relationships/hyperlink" Id="rId43"/>
    <Relationship TargetMode="External" Target="https://www.legis.iowa.gov/docs/ico/chapter/105.pdf" Type="http://schemas.openxmlformats.org/officeDocument/2006/relationships/hyperlink" Id="rId44"/>
    <Relationship TargetMode="External" Target="https://www.legis.iowa.gov/docs/ico/chapter/272C.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