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427</w:t>
      </w:r>
    </w:p>
    <w:p>
      <w:pPr>
        <w:spacing w:before="0" w:after="0"/>
        <w:ind w:left="120"/>
        <w:jc w:val="center"/>
      </w:pPr>
      <w:r>
        <w:rPr>
          <w:rFonts w:ascii="Times New Roman" w:hAnsi="Times New Roman"/>
          <w:b w:val="false"/>
          <w:i w:val="false"/>
          <w:color w:val="000000"/>
          <w:sz w:val="21"/>
        </w:rPr>
        <w:t>PLUMBING AND MECHANICAL SYSTEMS BOARD—ADMINISTRATIVE AND REGULATORY AUTHORITY</w:t>
      </w:r>
    </w:p>
    <w:p>
      <w:pPr>
        <w:spacing w:before="0" w:after="0"/>
        <w:ind w:left="120"/>
        <w:jc w:val="center"/>
      </w:pPr>
      <w:r>
        <w:rPr>
          <w:rFonts w:ascii="Times New Roman" w:hAnsi="Times New Roman"/>
          <w:b w:val="false"/>
          <w:i w:val="false"/>
          <w:color w:val="000000"/>
          <w:sz w:val="14"/>
        </w:rPr>
        <w:t>[Prior to 4/2/25, see Public Health Department[641] Ch 27]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481—427.1</w:t>
      </w:r>
      <w:r>
        <w:rPr>
          <w:rFonts w:ascii="Times New Roman" w:hAnsi="Times New Roman"/>
          <w:b/>
          <w:i w:val="false"/>
          <w:color w:val="000000"/>
          <w:sz w:val="22"/>
        </w:rPr>
        <w:t xml:space="preserve">(17A,105)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set forth in Iowa Code section </w:t>
      </w:r>
      <w:hyperlink r:id="rId5">
        <w:r>
          <w:rPr>
            <w:rStyle w:val="Hyperlink"/>
            <w:rFonts w:ascii="Times New Roman" w:hAnsi="Times New Roman"/>
            <w:b w:val="false"/>
            <w:i w:val="false"/>
            <w:color w:val="000000"/>
            <w:sz w:val="22"/>
          </w:rPr>
          <w:t>105.2</w:t>
        </w:r>
      </w:hyperlink>
      <w:r>
        <w:rPr>
          <w:rFonts w:ascii="Times New Roman" w:hAnsi="Times New Roman"/>
          <w:b w:val="false"/>
          <w:i w:val="false"/>
          <w:color w:val="000000"/>
          <w:sz w:val="22"/>
        </w:rPr>
        <w:t xml:space="preserve"> are incorporated herein by reference. For purposes of this chapter,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office” </w:t>
      </w:r>
      <w:r>
        <w:rPr>
          <w:rFonts w:ascii="Times New Roman" w:hAnsi="Times New Roman"/>
          <w:b w:val="false"/>
          <w:i w:val="false"/>
          <w:color w:val="000000"/>
          <w:sz w:val="22"/>
        </w:rPr>
        <w:t>means the office of the administrative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“Disciplinary proceeding” </w:t>
      </w:r>
      <w:r>
        <w:rPr>
          <w:rFonts w:ascii="Times New Roman" w:hAnsi="Times New Roman"/>
          <w:b w:val="false"/>
          <w:i w:val="false"/>
          <w:color w:val="000000"/>
          <w:sz w:val="22"/>
        </w:rPr>
        <w:t>means any proceeding under the authority of the board pursuant to which licensee discipline may be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a license to operate as a contractor or work in the plumbing, mechanical, HVAC-refrigeration, sheet metal, or hydronic disciplines or work as a certified medical gas system installer or work in the specialty license disciplines developed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 person or entity licensed to operate as a contractor or work in the plumbing, mechanical, HVAC-refrigeration, sheet metal, or hydronic disciplines or work as a certified medical gas system installer or work in the specialty license disciplines developed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481—427.2</w:t>
      </w:r>
      <w:r>
        <w:rPr>
          <w:rFonts w:ascii="Times New Roman" w:hAnsi="Times New Roman"/>
          <w:b/>
          <w:i w:val="false"/>
          <w:color w:val="000000"/>
          <w:sz w:val="22"/>
        </w:rPr>
        <w:t xml:space="preserve">(17A,105) </w:t>
      </w:r>
      <w:r>
        <w:rPr>
          <w:rFonts w:ascii="Times New Roman" w:hAnsi="Times New Roman"/>
          <w:b/>
          <w:i w:val="false"/>
          <w:color w:val="000000"/>
          <w:sz w:val="22"/>
        </w:rPr>
        <w:t xml:space="preserve">Purpose of board. </w:t>
      </w:r>
      <w:r>
        <w:rPr>
          <w:rFonts w:ascii="Times New Roman" w:hAnsi="Times New Roman"/>
          <w:b w:val="false"/>
          <w:i w:val="false"/>
          <w:color w:val="000000"/>
          <w:sz w:val="22"/>
        </w:rPr>
        <w:t xml:space="preserve">The purpose of the board is to administer and enforce the provisions of Iowa Code chapters </w:t>
      </w:r>
      <w:hyperlink r:id="rId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7">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with regard to the licensing and regulation of plumbers, mechanical professionals, and contractors. The mission of the board is to protect the public health, safety and welfare by licensing qualified individuals who provide services to consumers and by fair and consistent enforcement of the statutes and regulations of the licensure board. Responsibilities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427.2(1)</w:t>
      </w:r>
      <w:r>
        <w:rPr>
          <w:rFonts w:ascii="Times New Roman" w:hAnsi="Times New Roman"/>
          <w:b w:val="false"/>
          <w:i w:val="false"/>
          <w:color w:val="000000"/>
          <w:sz w:val="22"/>
        </w:rPr>
        <w:t> </w:t>
      </w:r>
      <w:r>
        <w:rPr>
          <w:rFonts w:ascii="Times New Roman" w:hAnsi="Times New Roman"/>
          <w:b w:val="false"/>
          <w:i w:val="false"/>
          <w:color w:val="000000"/>
          <w:sz w:val="22"/>
        </w:rPr>
        <w:t>Licensing of qualified applicants to operate as a contractor or work in the plumbing, mechanical, HVAC-refrigeration, sheet metal, or hydronic disciplines or work as a certified medical gas system installer or work in the specialty license disciplines developed by the board by examination, renewal, endorsement, and reciprocity.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427.2(2)</w:t>
      </w:r>
      <w:r>
        <w:rPr>
          <w:rFonts w:ascii="Times New Roman" w:hAnsi="Times New Roman"/>
          <w:b w:val="false"/>
          <w:i w:val="false"/>
          <w:color w:val="000000"/>
          <w:sz w:val="22"/>
        </w:rPr>
        <w:t> </w:t>
      </w:r>
      <w:r>
        <w:rPr>
          <w:rFonts w:ascii="Times New Roman" w:hAnsi="Times New Roman"/>
          <w:b w:val="false"/>
          <w:i w:val="false"/>
          <w:color w:val="000000"/>
          <w:sz w:val="22"/>
        </w:rPr>
        <w:t>Developing and administering a program of continuing education to ensure the continued competency of individuals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427.2(3)</w:t>
      </w:r>
      <w:r>
        <w:rPr>
          <w:rFonts w:ascii="Times New Roman" w:hAnsi="Times New Roman"/>
          <w:b w:val="false"/>
          <w:i w:val="false"/>
          <w:color w:val="000000"/>
          <w:sz w:val="22"/>
        </w:rPr>
        <w:t> </w:t>
      </w:r>
      <w:r>
        <w:rPr>
          <w:rFonts w:ascii="Times New Roman" w:hAnsi="Times New Roman"/>
          <w:b w:val="false"/>
          <w:i w:val="false"/>
          <w:color w:val="000000"/>
          <w:sz w:val="22"/>
        </w:rPr>
        <w:t>Imposing discipline on licensees as provided by statute or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481—427.3</w:t>
      </w:r>
      <w:r>
        <w:rPr>
          <w:rFonts w:ascii="Times New Roman" w:hAnsi="Times New Roman"/>
          <w:b/>
          <w:i w:val="false"/>
          <w:color w:val="000000"/>
          <w:sz w:val="22"/>
        </w:rPr>
        <w:t xml:space="preserve">(17A,105) </w:t>
      </w:r>
      <w:r>
        <w:rPr>
          <w:rFonts w:ascii="Times New Roman" w:hAnsi="Times New Roman"/>
          <w:b/>
          <w:i w:val="false"/>
          <w:color w:val="000000"/>
          <w:sz w:val="22"/>
        </w:rPr>
        <w:t xml:space="preserve">Organization of board and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427.3(1)</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Membership of the board is as provided in Iowa Code section </w:t>
      </w:r>
      <w:hyperlink r:id="rId8">
        <w:r>
          <w:rPr>
            <w:rStyle w:val="Hyperlink"/>
            <w:rFonts w:ascii="Times New Roman" w:hAnsi="Times New Roman"/>
            <w:b w:val="false"/>
            <w:i w:val="false"/>
            <w:color w:val="000000"/>
            <w:sz w:val="22"/>
          </w:rPr>
          <w:t>105.3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427.3(2)</w:t>
      </w:r>
      <w:r>
        <w:rPr>
          <w:rFonts w:ascii="Times New Roman" w:hAnsi="Times New Roman"/>
          <w:b w:val="false"/>
          <w:i w:val="false"/>
          <w:color w:val="000000"/>
          <w:sz w:val="22"/>
        </w:rPr>
        <w:t> </w:t>
      </w:r>
      <w:r>
        <w:rPr>
          <w:rFonts w:ascii="Times New Roman" w:hAnsi="Times New Roman"/>
          <w:b w:val="false"/>
          <w:i w:val="false"/>
          <w:color w:val="000000"/>
          <w:sz w:val="22"/>
        </w:rPr>
        <w:t>The board will elect a chairperson, vice chairperson, and secretary from its membership at the first meeting after April 30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427.3(3)</w:t>
      </w:r>
      <w:r>
        <w:rPr>
          <w:rFonts w:ascii="Times New Roman" w:hAnsi="Times New Roman"/>
          <w:b w:val="false"/>
          <w:i w:val="false"/>
          <w:color w:val="000000"/>
          <w:sz w:val="22"/>
        </w:rPr>
        <w:t> </w:t>
      </w:r>
      <w:r>
        <w:rPr>
          <w:rFonts w:ascii="Times New Roman" w:hAnsi="Times New Roman"/>
          <w:b w:val="false"/>
          <w:i w:val="false"/>
          <w:color w:val="000000"/>
          <w:sz w:val="22"/>
        </w:rPr>
        <w:t>The board will hold at least four meetings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427.3(4)</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the board shall constitute a quorum.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427.3(5)</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meetings shall be governed in accordance with Iowa Code chapter </w:t>
      </w:r>
      <w:hyperlink r:id="rId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and the board’s proceedings will be conducted in accordance with Robert’s Rules of Order, Revised.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427.3(6)</w:t>
      </w:r>
      <w:r>
        <w:rPr>
          <w:rFonts w:ascii="Times New Roman" w:hAnsi="Times New Roman"/>
          <w:b w:val="false"/>
          <w:i w:val="false"/>
          <w:color w:val="000000"/>
          <w:sz w:val="22"/>
        </w:rPr>
        <w:t> </w:t>
      </w:r>
      <w:r>
        <w:rPr>
          <w:rFonts w:ascii="Times New Roman" w:hAnsi="Times New Roman"/>
          <w:b w:val="false"/>
          <w:i w:val="false"/>
          <w:color w:val="000000"/>
          <w:sz w:val="22"/>
        </w:rPr>
        <w:t>The department will furnish the board with the necessary facilities and employees to perform the duties mandated by this chapter but shall be reimbursed for all costs incurred from funds appropriated to the board and subsequent fees from licensing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427.3(7)</w:t>
      </w:r>
      <w:r>
        <w:rPr>
          <w:rFonts w:ascii="Times New Roman" w:hAnsi="Times New Roman"/>
          <w:b w:val="false"/>
          <w:i w:val="false"/>
          <w:color w:val="000000"/>
          <w:sz w:val="22"/>
        </w:rPr>
        <w:t> </w:t>
      </w:r>
      <w:r>
        <w:rPr>
          <w:rFonts w:ascii="Times New Roman" w:hAnsi="Times New Roman"/>
          <w:b w:val="false"/>
          <w:i w:val="false"/>
          <w:color w:val="000000"/>
          <w:sz w:val="22"/>
        </w:rPr>
        <w:t>The board has the authority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and implement a program of continuing education to ensure the continued competency of individuals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Establish committees of the board, the members of which are appointed by the board chairperson and do not constitute a quorum of the board. The board chairperson appoints committee chairpersons.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Hold a closed session pursuant to Iowa Code section </w:t>
      </w:r>
      <w:hyperlink r:id="rId10">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Investigate alleged violations of statutes or rules that relate to operation as a contractor; work in the plumbing, mechanical, HVAC-refrigeration, sheet metal, or hydronic disciplines; work as a certified medical gas system installer; or work in the specialty license disciplines developed by the board upon receipt of a complaint or upon the board’s own initiation. The investigation will be based on information or evidence received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Initiate and impose licensee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Monitor licensees that are limited by a board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Perform any other functions authorized by a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481—427.4</w:t>
      </w:r>
      <w:r>
        <w:rPr>
          <w:rFonts w:ascii="Times New Roman" w:hAnsi="Times New Roman"/>
          <w:b/>
          <w:i w:val="false"/>
          <w:color w:val="000000"/>
          <w:sz w:val="22"/>
        </w:rPr>
        <w:t xml:space="preserve">(17A,105) </w:t>
      </w:r>
      <w:r>
        <w:rPr>
          <w:rFonts w:ascii="Times New Roman" w:hAnsi="Times New Roman"/>
          <w:b/>
          <w:i w:val="false"/>
          <w:color w:val="000000"/>
          <w:sz w:val="22"/>
        </w:rPr>
        <w:t xml:space="preserve">Official communications.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427.4(1)</w:t>
      </w:r>
      <w:r>
        <w:rPr>
          <w:rFonts w:ascii="Times New Roman" w:hAnsi="Times New Roman"/>
          <w:b w:val="false"/>
          <w:i w:val="false"/>
          <w:color w:val="000000"/>
          <w:sz w:val="22"/>
        </w:rPr>
        <w:t> </w:t>
      </w:r>
      <w:r>
        <w:rPr>
          <w:rFonts w:ascii="Times New Roman" w:hAnsi="Times New Roman"/>
          <w:b w:val="false"/>
          <w:i w:val="false"/>
          <w:color w:val="000000"/>
          <w:sz w:val="22"/>
        </w:rPr>
        <w:t>All official communications, including submissions and requests, should be addressed to the Plumbing and Mechanical Systems Board at its current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427.4(2)</w:t>
      </w:r>
      <w:r>
        <w:rPr>
          <w:rFonts w:ascii="Times New Roman" w:hAnsi="Times New Roman"/>
          <w:b w:val="false"/>
          <w:i w:val="false"/>
          <w:color w:val="000000"/>
          <w:sz w:val="22"/>
        </w:rPr>
        <w:t> </w:t>
      </w:r>
      <w:r>
        <w:rPr>
          <w:rFonts w:ascii="Times New Roman" w:hAnsi="Times New Roman"/>
          <w:b w:val="false"/>
          <w:i w:val="false"/>
          <w:color w:val="000000"/>
          <w:sz w:val="22"/>
        </w:rPr>
        <w:t>Notice of change of name or address. Each licensee and licensed entity shall notify the board in writing of a change of name or change of current mailing address within 30 days after the occurrence.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481—427.5</w:t>
      </w:r>
      <w:r>
        <w:rPr>
          <w:rFonts w:ascii="Times New Roman" w:hAnsi="Times New Roman"/>
          <w:b/>
          <w:i w:val="false"/>
          <w:color w:val="000000"/>
          <w:sz w:val="22"/>
        </w:rPr>
        <w:t xml:space="preserve">(21) </w:t>
      </w:r>
      <w:r>
        <w:rPr>
          <w:rFonts w:ascii="Times New Roman" w:hAnsi="Times New Roman"/>
          <w:b/>
          <w:i w:val="false"/>
          <w:color w:val="000000"/>
          <w:sz w:val="22"/>
        </w:rPr>
        <w:t xml:space="preserve">Public meetings. </w:t>
      </w:r>
      <w:r>
        <w:rPr>
          <w:rFonts w:ascii="Times New Roman" w:hAnsi="Times New Roman"/>
          <w:b w:val="false"/>
          <w:i w:val="false"/>
          <w:color w:val="000000"/>
          <w:sz w:val="22"/>
        </w:rPr>
        <w:t>Members of the public may be present during board meetings unless the board votes to hold a closed session. Dates and location of board meetings may be obtained through the board’s website or directly from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427.5(1)</w:t>
      </w:r>
      <w:r>
        <w:rPr>
          <w:rFonts w:ascii="Times New Roman" w:hAnsi="Times New Roman"/>
          <w:b w:val="false"/>
          <w:i w:val="false"/>
          <w:color w:val="000000"/>
          <w:sz w:val="22"/>
        </w:rPr>
        <w:t> </w:t>
      </w:r>
      <w:r>
        <w:rPr>
          <w:rFonts w:ascii="Times New Roman" w:hAnsi="Times New Roman"/>
          <w:b w:val="false"/>
          <w:i w:val="false"/>
          <w:color w:val="000000"/>
          <w:sz w:val="22"/>
        </w:rPr>
        <w:t>At every regularly scheduled board meeting, time will be designated for public comment. During the public comment period, any person may speak for up to two minutes. Any additional time allowances will be at the discretion of the chairperson or acting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427.5(2)</w:t>
      </w:r>
      <w:r>
        <w:rPr>
          <w:rFonts w:ascii="Times New Roman" w:hAnsi="Times New Roman"/>
          <w:b w:val="false"/>
          <w:i w:val="false"/>
          <w:color w:val="000000"/>
          <w:sz w:val="22"/>
        </w:rPr>
        <w:t> </w:t>
      </w:r>
      <w:r>
        <w:rPr>
          <w:rFonts w:ascii="Times New Roman" w:hAnsi="Times New Roman"/>
          <w:b w:val="false"/>
          <w:i w:val="false"/>
          <w:color w:val="000000"/>
          <w:sz w:val="22"/>
        </w:rPr>
        <w:t>Persons who have not asked to address the board during the public comment period may raise their hands to be recognized by the chairperson. Acknowledgment and an opportunity to speak will be at the discretion of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427.5(3)</w:t>
      </w:r>
      <w:r>
        <w:rPr>
          <w:rFonts w:ascii="Times New Roman" w:hAnsi="Times New Roman"/>
          <w:b w:val="false"/>
          <w:i w:val="false"/>
          <w:color w:val="000000"/>
          <w:sz w:val="22"/>
        </w:rPr>
        <w:t> </w:t>
      </w:r>
      <w:r>
        <w:rPr>
          <w:rFonts w:ascii="Times New Roman" w:hAnsi="Times New Roman"/>
          <w:b w:val="false"/>
          <w:i w:val="false"/>
          <w:color w:val="000000"/>
          <w:sz w:val="22"/>
        </w:rPr>
        <w:t>The person presiding at a meeting of the board may exclude a person from an open meeting for behavior that obstructs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427.5(4)</w:t>
      </w:r>
      <w:r>
        <w:rPr>
          <w:rFonts w:ascii="Times New Roman" w:hAnsi="Times New Roman"/>
          <w:b w:val="false"/>
          <w:i w:val="false"/>
          <w:color w:val="000000"/>
          <w:sz w:val="22"/>
        </w:rPr>
        <w:t> </w:t>
      </w:r>
      <w:r>
        <w:rPr>
          <w:rFonts w:ascii="Times New Roman" w:hAnsi="Times New Roman"/>
          <w:b w:val="false"/>
          <w:i w:val="false"/>
          <w:color w:val="000000"/>
          <w:sz w:val="22"/>
        </w:rPr>
        <w:t>Cameras and recording devices may be used at open meetings, provided the cameras or recording devices do not obstruct the meeting. If the user of a camera or recording device obstructs the meeting by the use of such device, the person presiding at the meeting may request the user to discontinue use of the camera or device.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7993C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1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10/17/08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9/10/08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Emergency After Notice ARC 8528B</w:t>
      </w:r>
      <w:r>
        <w:rPr>
          <w:rFonts w:ascii="Times New Roman" w:hAnsi="Times New Roman"/>
          <w:b w:val="false"/>
          <w:i w:val="false"/>
          <w:color w:val="000000"/>
          <w:sz w:val="21"/>
        </w:rPr>
        <w:t xml:space="preserve"> (Notice ARC 8360B, IAB 12/2/09)</w:t>
      </w:r>
      <w:r>
        <w:rPr>
          <w:rFonts w:ascii="Times New Roman" w:hAnsi="Times New Roman"/>
          <w:b w:val="false"/>
          <w:i w:val="false"/>
          <w:color w:val="000000"/>
          <w:sz w:val="21"/>
        </w:rPr>
        <w:t>, IAB 2/24/10, effective 1/26/10]</w:t>
      </w:r>
    </w:p>
    <w:p>
      <w:pPr>
        <w:spacing w:before="0" w:after="0"/>
        <w:ind w:left="120"/>
        <w:jc w:val="center"/>
      </w:pPr>
      <w:r>
        <w:rPr>
          <w:rFonts w:ascii="Times New Roman" w:hAnsi="Times New Roman"/>
          <w:b w:val="false"/>
          <w:i w:val="false"/>
          <w:color w:val="000000"/>
          <w:sz w:val="21"/>
        </w:rPr>
        <w:t>[Filed ARC 1219C</w:t>
      </w:r>
      <w:r>
        <w:rPr>
          <w:rFonts w:ascii="Times New Roman" w:hAnsi="Times New Roman"/>
          <w:b w:val="false"/>
          <w:i w:val="false"/>
          <w:color w:val="000000"/>
          <w:sz w:val="21"/>
        </w:rPr>
        <w:t xml:space="preserve"> (Notice ARC 0936C, IAB 8/7/13)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3061C</w:t>
      </w:r>
      <w:r>
        <w:rPr>
          <w:rFonts w:ascii="Times New Roman" w:hAnsi="Times New Roman"/>
          <w:b w:val="false"/>
          <w:i w:val="false"/>
          <w:color w:val="000000"/>
          <w:sz w:val="21"/>
        </w:rPr>
        <w:t xml:space="preserve"> (Notice ARC 2903C, IAB 1/18/17)</w:t>
      </w:r>
      <w:r>
        <w:rPr>
          <w:rFonts w:ascii="Times New Roman" w:hAnsi="Times New Roman"/>
          <w:b w:val="false"/>
          <w:i w:val="false"/>
          <w:color w:val="000000"/>
          <w:sz w:val="21"/>
        </w:rPr>
        <w:t>, IAB 5/10/17, effective 6/14/17]</w:t>
      </w:r>
    </w:p>
    <w:p>
      <w:pPr>
        <w:spacing w:before="0" w:after="0"/>
        <w:ind w:left="120"/>
        <w:jc w:val="center"/>
      </w:pPr>
      <w:r>
        <w:rPr>
          <w:rFonts w:ascii="Times New Roman" w:hAnsi="Times New Roman"/>
          <w:b w:val="false"/>
          <w:i w:val="false"/>
          <w:color w:val="000000"/>
          <w:sz w:val="21"/>
        </w:rPr>
        <w:t>[Filed ARC 7993C</w:t>
      </w:r>
      <w:r>
        <w:rPr>
          <w:rFonts w:ascii="Times New Roman" w:hAnsi="Times New Roman"/>
          <w:b w:val="false"/>
          <w:i w:val="false"/>
          <w:color w:val="000000"/>
          <w:sz w:val="21"/>
        </w:rPr>
        <w:t xml:space="preserve"> (Notice ARC 7317C,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4/2/25]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05.2.pdf" Type="http://schemas.openxmlformats.org/officeDocument/2006/relationships/hyperlink" Id="rId5"/>
    <Relationship TargetMode="External" Target="https://www.legis.iowa.gov/docs/ico/chapter/17A.pdf" Type="http://schemas.openxmlformats.org/officeDocument/2006/relationships/hyperlink" Id="rId6"/>
    <Relationship TargetMode="External" Target="https://www.legis.iowa.gov/docs/ico/chapter/105.pdf" Type="http://schemas.openxmlformats.org/officeDocument/2006/relationships/hyperlink" Id="rId7"/>
    <Relationship TargetMode="External" Target="https://www.legis.iowa.gov/docs/ico/chapter/105.3.pdf" Type="http://schemas.openxmlformats.org/officeDocument/2006/relationships/hyperlink" Id="rId8"/>
    <Relationship TargetMode="External" Target="https://www.legis.iowa.gov/docs/ico/chapter/21.pdf" Type="http://schemas.openxmlformats.org/officeDocument/2006/relationships/hyperlink" Id="rId9"/>
    <Relationship TargetMode="External" Target="https://www.legis.iowa.gov/docs/ico/chapter/21.5.pdf" Type="http://schemas.openxmlformats.org/officeDocument/2006/relationships/hyperlink" Id="rId10"/>
    <Relationship TargetMode="External" Target="https://www.legis.iowa.gov/docs/ico/chapter/17A.pdf" Type="http://schemas.openxmlformats.org/officeDocument/2006/relationships/hyperlink" Id="rId11"/>
    <Relationship TargetMode="External" Target="https://www.legis.iowa.gov/docs/ico/chapter/21.pdf" Type="http://schemas.openxmlformats.org/officeDocument/2006/relationships/hyperlink" Id="rId12"/>
    <Relationship TargetMode="External" Target="https://www.legis.iowa.gov/docs/ico/chapter/105.pdf" Type="http://schemas.openxmlformats.org/officeDocument/2006/relationships/hyperlink"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