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425</w:t>
      </w:r>
    </w:p>
    <w:p>
      <w:pPr>
        <w:spacing w:before="0" w:after="0"/>
        <w:ind w:left="120"/>
        <w:jc w:val="center"/>
      </w:pPr>
      <w:r>
        <w:rPr>
          <w:rFonts w:ascii="Times New Roman" w:hAnsi="Times New Roman"/>
          <w:b w:val="false"/>
          <w:i w:val="false"/>
          <w:color w:val="000000"/>
          <w:sz w:val="21"/>
        </w:rPr>
        <w:t>STATE PLUMBING CODE</w:t>
      </w:r>
    </w:p>
    <w:p>
      <w:pPr>
        <w:spacing w:before="0" w:after="0"/>
        <w:ind w:left="120"/>
        <w:jc w:val="center"/>
      </w:pPr>
      <w:r>
        <w:rPr>
          <w:rFonts w:ascii="Times New Roman" w:hAnsi="Times New Roman"/>
          <w:b w:val="false"/>
          <w:i w:val="false"/>
          <w:color w:val="000000"/>
          <w:sz w:val="14"/>
        </w:rPr>
        <w:t>[Prior to 7/29/87, see Health Department[470] Ch 25]</w:t>
      </w:r>
    </w:p>
    <w:p>
      <w:pPr>
        <w:spacing w:before="0" w:after="0"/>
        <w:ind w:left="120"/>
        <w:jc w:val="center"/>
      </w:pPr>
      <w:r>
        <w:rPr>
          <w:rFonts w:ascii="Times New Roman" w:hAnsi="Times New Roman"/>
          <w:b w:val="false"/>
          <w:i w:val="false"/>
          <w:color w:val="000000"/>
          <w:sz w:val="14"/>
        </w:rPr>
        <w:t>[Prior to 4/2/25, see Public Health Department[641] 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481—425.1</w:t>
      </w:r>
      <w:r>
        <w:rPr>
          <w:rFonts w:ascii="Times New Roman" w:hAnsi="Times New Roman"/>
          <w:b/>
          <w:i w:val="false"/>
          <w:color w:val="000000"/>
          <w:sz w:val="22"/>
        </w:rPr>
        <w:t xml:space="preserve">(105)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Sections 101 and 102, Chapters 2 to 17 and Appendices A and M of the Uniform Plumbing Code (UPC), 2024 Edition, as published by the International Association of Plumbing and Mechanical Officials, 4755 E. Philadelphia Street, Ontario, California 91761-2816, are hereby adopted by reference with amendments as the state plumbing code authorized by Iowa Code section </w:t>
      </w:r>
      <w:hyperlink r:id="rId5">
        <w:r>
          <w:rPr>
            <w:rStyle w:val="Hyperlink"/>
            <w:rFonts w:ascii="Times New Roman" w:hAnsi="Times New Roman"/>
            <w:b w:val="false"/>
            <w:i w:val="false"/>
            <w:color w:val="000000"/>
            <w:sz w:val="22"/>
          </w:rPr>
          <w:t>105.4</w:t>
        </w:r>
      </w:hyperlink>
      <w:r>
        <w:rPr>
          <w:rFonts w:ascii="Times New Roman" w:hAnsi="Times New Roman"/>
          <w:b w:val="false"/>
          <w:i w:val="false"/>
          <w:color w:val="000000"/>
          <w:sz w:val="22"/>
        </w:rPr>
        <w:t xml:space="preserve">. Portions of this chapter reproduce excerpts from the 2024 International Plumbing Code; Copyright 2023; Washington, D.C.: International Code Council </w:t>
      </w:r>
      <w:hyperlink r:id="rId6">
        <w:r>
          <w:rPr>
            <w:rStyle w:val="Hyperlink"/>
            <w:rFonts w:ascii="Times New Roman" w:hAnsi="Times New Roman"/>
            <w:b w:val="false"/>
            <w:i w:val="false"/>
            <w:color w:val="000000"/>
            <w:sz w:val="22"/>
            <w:u w:val="single"/>
          </w:rPr>
          <w:t>www.ICCSAFE.org</w:t>
        </w:r>
      </w:hyperlink>
      <w:r>
        <w:rPr>
          <w:rFonts w:ascii="Times New Roman" w:hAnsi="Times New Roman"/>
          <w:b w:val="false"/>
          <w:i w:val="false"/>
          <w:color w:val="000000"/>
          <w:sz w:val="22"/>
        </w:rPr>
        <w:t xml:space="preserve">. Such excerpts are reproduced with permission, all rights reserved.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481—425.2</w:t>
      </w:r>
      <w:r>
        <w:rPr>
          <w:rFonts w:ascii="Times New Roman" w:hAnsi="Times New Roman"/>
          <w:b/>
          <w:i w:val="false"/>
          <w:color w:val="000000"/>
          <w:sz w:val="22"/>
        </w:rPr>
        <w:t xml:space="preserve">(105)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provisions of the UPC, as adopted and amended by this chapter, are applicable to the plumbing in buildings or on premises in Iowa. Local jurisdictions may not adopt other plumbing codes. Local jurisdictions may adopt additional amendments provided they are stricter than the UPC as amended by this chapter and copies of any local amendments are provided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481—425.3</w:t>
      </w:r>
      <w:r>
        <w:rPr>
          <w:rFonts w:ascii="Times New Roman" w:hAnsi="Times New Roman"/>
          <w:b/>
          <w:i w:val="false"/>
          <w:color w:val="000000"/>
          <w:sz w:val="22"/>
        </w:rPr>
        <w:t xml:space="preserve">(105) </w:t>
      </w:r>
      <w:r>
        <w:rPr>
          <w:rFonts w:ascii="Times New Roman" w:hAnsi="Times New Roman"/>
          <w:b/>
          <w:i w:val="false"/>
          <w:color w:val="000000"/>
          <w:sz w:val="22"/>
        </w:rPr>
        <w:t xml:space="preserve">Fuel gas piping. </w:t>
      </w:r>
      <w:r>
        <w:rPr>
          <w:rFonts w:ascii="Times New Roman" w:hAnsi="Times New Roman"/>
          <w:b w:val="false"/>
          <w:i w:val="false"/>
          <w:color w:val="000000"/>
          <w:sz w:val="22"/>
        </w:rPr>
        <w:t xml:space="preserve">Fuel gas piping shall comply with the requirements of Chapter </w:t>
      </w:r>
      <w:hyperlink r:id="rId7">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of the UPC, 2024 Edition, unless the provisions conflict with </w:t>
      </w:r>
      <w:hyperlink r:id="rId8">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in which case </w:t>
      </w:r>
      <w:hyperlink r:id="rId9">
        <w:r>
          <w:rPr>
            <w:rStyle w:val="Hyperlink"/>
            <w:rFonts w:ascii="Times New Roman" w:hAnsi="Times New Roman"/>
            <w:b w:val="false"/>
            <w:i w:val="false"/>
            <w:color w:val="000000"/>
            <w:sz w:val="22"/>
          </w:rPr>
          <w:t>661—Chapter 226</w:t>
        </w:r>
      </w:hyperlink>
      <w:r>
        <w:rPr>
          <w:rFonts w:ascii="Times New Roman" w:hAnsi="Times New Roman"/>
          <w:b w:val="false"/>
          <w:i w:val="false"/>
          <w:color w:val="000000"/>
          <w:sz w:val="22"/>
        </w:rPr>
        <w:t xml:space="preserve"> governs.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481—425.4</w:t>
      </w:r>
      <w:r>
        <w:rPr>
          <w:rFonts w:ascii="Times New Roman" w:hAnsi="Times New Roman"/>
          <w:b/>
          <w:i w:val="false"/>
          <w:color w:val="000000"/>
          <w:sz w:val="22"/>
        </w:rPr>
        <w:t xml:space="preserve">(105) </w:t>
      </w:r>
      <w:r>
        <w:rPr>
          <w:rFonts w:ascii="Times New Roman" w:hAnsi="Times New Roman"/>
          <w:b/>
          <w:i w:val="false"/>
          <w:color w:val="000000"/>
          <w:sz w:val="22"/>
        </w:rPr>
        <w:t xml:space="preserve">Amendments to Uniform Plumbing Code. </w:t>
      </w:r>
      <w:r>
        <w:rPr>
          <w:rFonts w:ascii="Times New Roman" w:hAnsi="Times New Roman"/>
          <w:b w:val="false"/>
          <w:i w:val="false"/>
          <w:color w:val="000000"/>
          <w:sz w:val="22"/>
        </w:rPr>
        <w:t xml:space="preserve">The UPC, as adopted by reference in rule </w:t>
      </w:r>
      <w:hyperlink r:id="rId10">
        <w:r>
          <w:rPr>
            <w:rStyle w:val="Hyperlink"/>
            <w:rFonts w:ascii="Times New Roman" w:hAnsi="Times New Roman"/>
            <w:b w:val="false"/>
            <w:i w:val="false"/>
            <w:color w:val="000000"/>
            <w:sz w:val="22"/>
          </w:rPr>
          <w:t>481—425.1</w:t>
        </w:r>
      </w:hyperlink>
      <w:r>
        <w:rPr>
          <w:rFonts w:ascii="Times New Roman" w:hAnsi="Times New Roman"/>
          <w:b w:val="false"/>
          <w:i w:val="false"/>
          <w:color w:val="000000"/>
          <w:sz w:val="22"/>
        </w:rPr>
        <w:t>(105), is amended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 apply to UPC Chapter </w:t>
      </w:r>
      <w:hyperlink r:id="rId11">
        <w:r>
          <w:rPr>
            <w:rStyle w:val="Hyperlink"/>
            <w:rFonts w:ascii="Times New Roman" w:hAnsi="Times New Roman"/>
            <w:b w:val="false"/>
            <w:i w:val="false"/>
            <w:color w:val="000000"/>
            <w:sz w:val="22"/>
          </w:rPr>
          <w:t>1</w:t>
        </w:r>
      </w:hyperlink>
      <w:r>
        <w:rPr>
          <w:rFonts w:ascii="Times New Roman" w:hAnsi="Times New Roman"/>
          <w:b w:val="false"/>
          <w:i w:val="false"/>
          <w:color w:val="000000"/>
          <w:sz w:val="22"/>
        </w:rPr>
        <w:t>: Section 101.2 Scope. Modify the section by adding the following sentence to the end of the section: “Local jurisdictions may administer the permit, inspection, testing, and enforcement provisions contained in this code. Permit, inspection, testing, and enforcement provisions contained in this code are not administered by the Plumbing and Mechanical Systems Board or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2">
        <w:r>
          <w:rPr>
            <w:rStyle w:val="Hyperlink"/>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Section 301.5 Alternative Engineered Design. Modify the section by adding the following sentence to the end of the section: “No engineered single-stack drainage system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309.6 Dead Legs. Modify the section by adding the following sentence to the end of the section: “The authority having jurisdiction can determine the method of flushing.”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Subsection </w:t>
      </w:r>
      <w:hyperlink r:id="rId13">
        <w:r>
          <w:rPr>
            <w:rStyle w:val="Hyperlink"/>
            <w:rFonts w:ascii="Times New Roman" w:hAnsi="Times New Roman"/>
            <w:b w:val="false"/>
            <w:i w:val="false"/>
            <w:color w:val="000000"/>
            <w:sz w:val="22"/>
          </w:rPr>
          <w:t>314.4</w:t>
        </w:r>
      </w:hyperlink>
      <w:r>
        <w:rPr>
          <w:rFonts w:ascii="Times New Roman" w:hAnsi="Times New Roman"/>
          <w:b w:val="false"/>
          <w:i w:val="false"/>
          <w:color w:val="000000"/>
          <w:sz w:val="22"/>
        </w:rPr>
        <w:t>.1 Installation of Thermoplastic Pipe and Fittings. Trench width for thermoplastic pipe shall be limited to six times the outside diameter of the piping at the base and thermoplastic piping be bedded in not less than 4 inches (102 mm) of aggregate bedding material supporting the pipe. Initial backfill shall encompass the pipe, and aggregate material shall be three-eighths (3/8) inch p-gravel or 1-inch clean class one bedding.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4">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402.5 Setting. Modify the section by adding the following sentence to the end of the section that begins “Exception:”: The installation of paper dispensers, sanitary napkin disposal unit or accessibility grab bars shall not be considered obstructions.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407.3 Limitation of Hot Water Temperature for Public Lavatories.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408.12 Showers. Create a new Section 408.12 stating: “Limitation of Hot Water Temperature of Pet Grooming Stations. The maximum hot water temperature discharging from pet grooming stations shall be limited to 120ºF (49ºC) and the maximum temperature regulated by one of the following means, which shall be installed at or as close as possible to the point of use:</w:t>
      </w:r>
    </w:p>
    <w:p>
      <w:pPr>
        <w:spacing w:before="0" w:after="0"/>
        <w:ind w:left="120"/>
        <w:jc w:val="both"/>
      </w:pPr>
      <w:r>
        <w:rPr>
          <w:rFonts w:ascii="Times New Roman" w:hAnsi="Times New Roman"/>
          <w:b w:val="false"/>
          <w:i w:val="false"/>
          <w:color w:val="000000"/>
          <w:sz w:val="22"/>
        </w:rPr>
        <w:t>“(1) A limiting device conforming to ASSE1070, ASMEA112.1070, CSAB125.70, or CSAB125.3.</w:t>
      </w:r>
    </w:p>
    <w:p>
      <w:pPr>
        <w:spacing w:before="0" w:after="0"/>
        <w:ind w:left="120"/>
        <w:jc w:val="both"/>
      </w:pPr>
      <w:r>
        <w:rPr>
          <w:rFonts w:ascii="Times New Roman" w:hAnsi="Times New Roman"/>
          <w:b w:val="false"/>
          <w:i w:val="false"/>
          <w:color w:val="000000"/>
          <w:sz w:val="22"/>
        </w:rPr>
        <w:t>“(2) A water heater conforming to ASSE 1084.”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409.4 Limitation of Hot Water in Bathtubs and Whirlpool Bathtubs.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Section 410.3 Limitation of Water Temperature in Bidets. Modify the section by adding the following sentence to the end of the section: “These devices shall be installed at or as close as possible to the point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Section 416.5 Drain. Modify the section by deleting the last sentence, which states: “Where a drain is provided, the discharge shall be in accordance with Section 811.0.”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 418.3 Location of Floor Drains. Modify the section by adding the following to the end of the section: “(5) Rooms equipped with a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422.1 Fixture Count. </w:t>
      </w:r>
    </w:p>
    <w:p>
      <w:pPr>
        <w:spacing w:before="0" w:after="0"/>
        <w:ind w:left="120"/>
        <w:jc w:val="both"/>
      </w:pPr>
      <w:r>
        <w:rPr>
          <w:rFonts w:ascii="Times New Roman" w:hAnsi="Times New Roman"/>
          <w:b w:val="false"/>
          <w:i w:val="false"/>
          <w:color w:val="000000"/>
          <w:sz w:val="22"/>
        </w:rPr>
        <w:t>Modify the section by deleting the first paragraph and inserting the following in lieu thereof: “Plumbing fixtures shall be provided in each building for the type of building occupancy and in the minimum number shown in Table 403.1 of the International Plumbing Code, reprinted here as Table 422.1. The design occupant load and occupancy classification shall be determined in accordance with the state building code or the authority having jurisdiction. Required public facilities shall be designated by a legible sign for each sex and signs be readily visible and located near the entrance to each toilet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Table 422.1 Minimum Plumbing Facilities. Delete the table and insert the following table in lieu thereof.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9"/>
        <w:gridCol w:w="1920"/>
        <w:gridCol w:w="2669"/>
        <w:gridCol w:w="1286"/>
        <w:gridCol w:w="1440"/>
        <w:gridCol w:w="902"/>
        <w:gridCol w:w="1152"/>
        <w:gridCol w:w="1440"/>
        <w:gridCol w:w="1670"/>
        <w:gridCol w:w="1382"/>
      </w:tblGrid>
      <w:tr>
        <w:trPr>
          <w:trHeight w:val="855" w:hRule="atLeast"/>
        </w:trPr>
        <w:tc>
          <w:tcPr>
            <w:tcW w:w="0" w:type="auto"/>
            <w:gridSpan w:val="10"/>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22"/>
              </w:rPr>
              <w:t>TABLE 422.1 MINIMUM NUMBER OF REQUIRED PLUMBING FIXTURES</w:t>
            </w:r>
            <w:r>
              <w:rPr>
                <w:rFonts w:ascii="Times New Roman" w:hAnsi="Times New Roman"/>
                <w:b/>
                <w:i w:val="false"/>
                <w:color w:val="000000"/>
                <w:sz w:val="18"/>
                <w:vertAlign w:val="superscript"/>
              </w:rPr>
              <w:t>a</w:t>
            </w:r>
            <w:r>
              <w:br/>
            </w:r>
            <w:r>
              <w:rPr>
                <w:rFonts w:ascii="Times New Roman" w:hAnsi="Times New Roman"/>
                <w:b/>
                <w:i w:val="false"/>
                <w:color w:val="000000"/>
                <w:sz w:val="22"/>
              </w:rPr>
              <w:t>(See Sections 403.1.1 and 403.2)</w:t>
            </w:r>
            <w:r>
              <w:br/>
            </w:r>
            <w:r>
              <w:rPr>
                <w:rFonts w:ascii="Times New Roman" w:hAnsi="Times New Roman"/>
                <w:b/>
                <w:i w:val="false"/>
                <w:color w:val="000000"/>
                <w:sz w:val="22"/>
              </w:rPr>
              <w:t>(Reprinted with permission,* from the 2018 International Plumbing Code, excerpt from IPC Table 403.1)</w:t>
            </w:r>
          </w:p>
        </w:tc>
      </w:tr>
      <w:tr>
        <w:trPr>
          <w:trHeight w:val="600" w:hRule="atLeast"/>
        </w:trPr>
        <w:tc>
          <w:tcPr>
            <w:tcW w:w="7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NO.</w:t>
            </w:r>
          </w:p>
        </w:tc>
        <w:tc>
          <w:tcPr>
            <w:tcW w:w="192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CLASSIFICATION</w:t>
            </w:r>
          </w:p>
        </w:tc>
        <w:tc>
          <w:tcPr>
            <w:tcW w:w="2669"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DESCRIPTION</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WATER CLOSETS (URINALS: SEE SECTION 422.7)</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LAVATORIES</w:t>
            </w:r>
          </w:p>
        </w:tc>
        <w:tc>
          <w:tcPr>
            <w:tcW w:w="144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BATHTUBS/SHOWERS</w:t>
            </w:r>
          </w:p>
        </w:tc>
        <w:tc>
          <w:tcPr>
            <w:tcW w:w="1670"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DRINKING FOUNTAIN (SEE SECTION 415.0)</w:t>
            </w:r>
          </w:p>
        </w:tc>
        <w:tc>
          <w:tcPr>
            <w:tcW w:w="1382" w:type="dxa"/>
            <w:vMerge w:val="restart"/>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OTHER</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28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4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90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MALE</w:t>
            </w:r>
          </w:p>
        </w:tc>
        <w:tc>
          <w:tcPr>
            <w:tcW w:w="115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i w:val="false"/>
                <w:color w:val="000000"/>
                <w:sz w:val="16"/>
              </w:rPr>
              <w:t>FEMALE</w:t>
            </w: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Theaters and other buildings for the performing arts and motion pictures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Nightclubs, bars, taverns, dance halls and buildings for similar purposes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Restaurants, banquet halls and food courts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Assembly</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Gaming areas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 for the first 400 and 1 per 250 for the remainder exceeding 400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 for the first 400 and 1 per 150 for the remainder exceeding 400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250 for the first 750 and 1 per 500 for the remainder exceeding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Auditoriums without permanent seating, art galleries, exhibition halls, museums, lecture halls, libraries, arcades and gymnasiums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125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65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Passenger terminals and transportation facilities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Places of worship and other religious services</w:t>
            </w:r>
            <w:r>
              <w:rPr>
                <w:rFonts w:ascii="Times New Roman" w:hAnsi="Times New Roman"/>
                <w:b w:val="false"/>
                <w:i w:val="false"/>
                <w:color w:val="000000"/>
                <w:sz w:val="18"/>
                <w:vertAlign w:val="superscript"/>
              </w:rPr>
              <w:t>d</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470" w:hRule="atLeast"/>
        </w:trPr>
        <w:tc>
          <w:tcPr>
            <w:tcW w:w="769"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Coliseums, arenas, skating rinks, pools and tennis courts for indoor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20"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Assembly</w:t>
            </w:r>
            <w:r>
              <w:br/>
            </w: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Stadiums, amusement parks, bleachers and grandstands for outdoor sporting events and activities</w:t>
            </w:r>
          </w:p>
        </w:tc>
        <w:tc>
          <w:tcPr>
            <w:tcW w:w="128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 for the first 1,500 and 1 per 120 for the remainder exceeding 1,500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1,520 and 1 per 60 for the remainder exceeding 1,520</w:t>
            </w:r>
          </w:p>
        </w:tc>
        <w:tc>
          <w:tcPr>
            <w:tcW w:w="90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200</w:t>
            </w:r>
          </w:p>
        </w:tc>
        <w:tc>
          <w:tcPr>
            <w:tcW w:w="115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1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Business</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Buildings for the transaction of business, professional services, other services involving merchandise, office buildings, banks, light industrial and similar uses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 for the first 50 and 1 per 50 for the remainder exceeding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 for the first 80 and 1 per 80 for the remainder exceeding 80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r>
              <w:rPr>
                <w:rFonts w:ascii="Times New Roman" w:hAnsi="Times New Roman"/>
                <w:b w:val="false"/>
                <w:i w:val="false"/>
                <w:color w:val="000000"/>
                <w:sz w:val="18"/>
                <w:vertAlign w:val="superscript"/>
              </w:rPr>
              <w:t>e</w:t>
            </w:r>
          </w:p>
        </w:tc>
      </w:tr>
      <w:tr>
        <w:trPr>
          <w:trHeight w:val="22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Educational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Factory and Industrial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in which occupants are engaged in work fabricating, assembly or processing of products or materials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400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22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Custodial care facilities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Medical care recipients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room</w:t>
            </w:r>
            <w:r>
              <w:rPr>
                <w:rFonts w:ascii="Times New Roman" w:hAnsi="Times New Roman"/>
                <w:b w:val="false"/>
                <w:i w:val="false"/>
                <w:color w:val="000000"/>
                <w:sz w:val="18"/>
                <w:vertAlign w:val="superscript"/>
              </w:rPr>
              <w:t>c</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43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Institutional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hospitals and nursing homes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Visitors in hospitals and nursing homes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r>
      <w:tr>
        <w:trPr>
          <w:trHeight w:val="25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Prisons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cell</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1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w:t>
            </w:r>
          </w:p>
        </w:tc>
        <w:tc>
          <w:tcPr>
            <w:tcW w:w="192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Institutional</w:t>
            </w:r>
            <w:r>
              <w:br/>
            </w: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Employees in reformatories, detention centers and correctional centers</w:t>
            </w:r>
            <w:r>
              <w:rPr>
                <w:rFonts w:ascii="Times New Roman" w:hAnsi="Times New Roman"/>
                <w:b w:val="false"/>
                <w:i w:val="false"/>
                <w:color w:val="000000"/>
                <w:sz w:val="18"/>
                <w:vertAlign w:val="superscript"/>
              </w:rPr>
              <w:t>b</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25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35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Adult day care and </w:t>
            </w:r>
            <w:r>
              <w:br/>
            </w:r>
            <w:r>
              <w:rPr>
                <w:rFonts w:ascii="Times New Roman" w:hAnsi="Times New Roman"/>
                <w:b w:val="false"/>
                <w:i w:val="false"/>
                <w:color w:val="000000"/>
                <w:sz w:val="16"/>
              </w:rPr>
              <w:t>child day care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15</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76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Mercantile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Retail stores, service stations, shops, salesrooms, markets and shopping centers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500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750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r>
              <w:rPr>
                <w:rFonts w:ascii="Times New Roman" w:hAnsi="Times New Roman"/>
                <w:b w:val="false"/>
                <w:i w:val="false"/>
                <w:color w:val="000000"/>
                <w:sz w:val="18"/>
                <w:vertAlign w:val="superscript"/>
              </w:rPr>
              <w:t>e</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Hotels, motels, boarding houses (transient)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sleeping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63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Dormitories, fraternities, sororities and boarding houses (not transient) </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Residential</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Apartment house</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20 dwelling units</w:t>
            </w:r>
          </w:p>
        </w:tc>
      </w:tr>
      <w:tr>
        <w:trPr>
          <w:trHeight w:val="405"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1650" w:hRule="atLeast"/>
        </w:trPr>
        <w:tc>
          <w:tcPr>
            <w:tcW w:w="769"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920"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One- and two-family dwellings and lodging houses with five or fewer guestrooms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dwelling unit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kitchen sink per dwelling unit; 1 automatic clothes washer connection per dwelling unit</w:t>
            </w:r>
          </w:p>
        </w:tc>
      </w:tr>
      <w:tr>
        <w:trPr>
          <w:trHeight w:val="40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w:t>
            </w:r>
          </w:p>
        </w:tc>
        <w:tc>
          <w:tcPr>
            <w:tcW w:w="192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Residential</w:t>
            </w:r>
            <w:r>
              <w:br/>
            </w:r>
            <w:r>
              <w:rPr>
                <w:rFonts w:ascii="Times New Roman" w:hAnsi="Times New Roman"/>
                <w:b w:val="false"/>
                <w:i w:val="false"/>
                <w:color w:val="000000"/>
                <w:sz w:val="16"/>
              </w:rPr>
              <w:t>(cont’d)</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Congregate living facilities with 16 or fewer persons</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8</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r>
        <w:trPr>
          <w:trHeight w:val="945" w:hRule="atLeast"/>
        </w:trPr>
        <w:tc>
          <w:tcPr>
            <w:tcW w:w="7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w:t>
            </w:r>
          </w:p>
        </w:tc>
        <w:tc>
          <w:tcPr>
            <w:tcW w:w="192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Storage</w:t>
            </w:r>
          </w:p>
        </w:tc>
        <w:tc>
          <w:tcPr>
            <w:tcW w:w="266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Structures for the storage of goods, warehouses, storehouse and freight depots. Low and Moderate Hazard.</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w:t>
            </w:r>
          </w:p>
        </w:tc>
        <w:tc>
          <w:tcPr>
            <w:tcW w:w="14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per 1,000</w:t>
            </w:r>
          </w:p>
        </w:tc>
        <w:tc>
          <w:tcPr>
            <w:tcW w:w="138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service sink</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fixtures shown are based on one fixture being the minimum required for the number of persons indicated or any fraction of the number of persons indicated. The number of occupants shall be determined by the International Building Code.</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Toilet facilities for employees shall be separate from facilities for inmates or care recipients.</w:t>
      </w:r>
    </w:p>
    <w:p>
      <w:pPr>
        <w:spacing w:before="0" w:after="0"/>
        <w:ind w:left="120"/>
        <w:jc w:val="both"/>
      </w:pPr>
      <w:r>
        <w:rPr>
          <w:rFonts w:ascii="Times New Roman" w:hAnsi="Times New Roman"/>
          <w:b w:val="false"/>
          <w:i w:val="false"/>
          <w:color w:val="000000"/>
          <w:sz w:val="18"/>
          <w:vertAlign w:val="superscript"/>
        </w:rPr>
        <w: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 single-occupant toilet room with one water closet and one lavatory serving not more than two adjacent patient sleeping units shall be permitted provided that each patient sleeping unit has direct access to the toilet room and provision for privacy for the toilet room user is provided.</w:t>
      </w:r>
    </w:p>
    <w:p>
      <w:pPr>
        <w:spacing w:before="0" w:after="0"/>
        <w:ind w:left="120"/>
        <w:jc w:val="both"/>
      </w:pPr>
      <w:r>
        <w:rPr>
          <w:rFonts w:ascii="Times New Roman" w:hAnsi="Times New Roman"/>
          <w:b w:val="false"/>
          <w:i w:val="false"/>
          <w:color w:val="000000"/>
          <w:sz w:val="18"/>
          <w:vertAlign w:val="superscript"/>
        </w:rPr>
        <w:t>d</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occupant load for seasonal outdoor seating and entertainment areas shall be included when determining the minimum number of facilities required.</w:t>
      </w:r>
    </w:p>
    <w:p>
      <w:pPr>
        <w:spacing w:before="0" w:after="0"/>
        <w:ind w:left="120"/>
        <w:jc w:val="both"/>
      </w:pPr>
      <w:r>
        <w:rPr>
          <w:rFonts w:ascii="Times New Roman" w:hAnsi="Times New Roman"/>
          <w:b w:val="false"/>
          <w:i w:val="false"/>
          <w:color w:val="000000"/>
          <w:sz w:val="18"/>
          <w:vertAlign w:val="superscript"/>
        </w:rPr>
        <w:t>e</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business and mercantile classifications with an occupant load of 15 or fewer, service sinks will not be required.</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 xml:space="preserve">Excerpted (with modifications) from Table 403.1 of the 2018 International Plumbing Code; Copyright 2017; Washington, D.C.: ICC. Reproduced with permission. All rights reserved. </w:t>
      </w:r>
      <w:hyperlink r:id="rId15">
        <w:r>
          <w:rPr>
            <w:rStyle w:val="Hyperlink"/>
            <w:rFonts w:ascii="Times New Roman" w:hAnsi="Times New Roman"/>
            <w:b w:val="false"/>
            <w:i w:val="false"/>
            <w:color w:val="000000"/>
            <w:sz w:val="22"/>
            <w:u w:val="single"/>
          </w:rPr>
          <w:t>www.ICCSAFE.org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Insert the following text at the end of Chapter </w:t>
      </w:r>
      <w:hyperlink r:id="rId16">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“422.8 Substitution for Water Closets. In each bathroom or toilet room, urinals shall not be substituted for more than 67 percent of the required water closets in assembly and educational occupancies and not be substituted for more than 50 percent of the required water closets in all other occupancies. (Reprinted from the 2021 International Plumbing Code section </w:t>
      </w:r>
      <w:hyperlink r:id="rId17">
        <w:r>
          <w:rPr>
            <w:rStyle w:val="Hyperlink"/>
            <w:rFonts w:ascii="Times New Roman" w:hAnsi="Times New Roman"/>
            <w:b w:val="false"/>
            <w:i w:val="false"/>
            <w:color w:val="000000"/>
            <w:sz w:val="22"/>
          </w:rPr>
          <w:t>424.2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18">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603.4.8 Drain Lines. Modify the section by adding the following language to the end of the last sentence in the section: “or in accordance with the manufacturer’s drain-sizing chart for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609.1 Installation.  Insert the following:  “Building supply yard piping shall be not less than 60 inches below earth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609.12 Pipe Insulation. Delete Sections 609.12 through 609.12.2 and insert the following in lieu thereof:</w:t>
      </w:r>
    </w:p>
    <w:p>
      <w:pPr>
        <w:spacing w:before="0" w:after="0"/>
        <w:ind w:left="120"/>
        <w:jc w:val="both"/>
      </w:pPr>
      <w:r>
        <w:rPr>
          <w:rFonts w:ascii="Times New Roman" w:hAnsi="Times New Roman"/>
          <w:b w:val="false"/>
          <w:i w:val="false"/>
          <w:color w:val="000000"/>
          <w:sz w:val="22"/>
        </w:rPr>
        <w:t>“Section 609.12 Pipe Insulation. Insulation of domestic hot water piping shall be in accordance with the state applicable energy conservation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611.4 Sizing of Residential Softeners. Modify the section by adding the following to the end of the last sentence in the section: “or as specified in the manufacturer’s installation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612 Residential Fire Sprinkler Systems. Delete sections </w:t>
      </w:r>
      <w:hyperlink r:id="rId19">
        <w:r>
          <w:rPr>
            <w:rStyle w:val="Hyperlink"/>
            <w:rFonts w:ascii="Times New Roman" w:hAnsi="Times New Roman"/>
            <w:b w:val="false"/>
            <w:i w:val="false"/>
            <w:color w:val="000000"/>
            <w:sz w:val="22"/>
          </w:rPr>
          <w:t>612.0</w:t>
        </w:r>
      </w:hyperlink>
      <w:r>
        <w:rPr>
          <w:rFonts w:ascii="Times New Roman" w:hAnsi="Times New Roman"/>
          <w:b w:val="false"/>
          <w:i w:val="false"/>
          <w:color w:val="000000"/>
          <w:sz w:val="22"/>
        </w:rPr>
        <w:t xml:space="preserve"> through 612.7.2.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0">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702.1 Trap Size. Table 702.1 Note 9. Modify this note by deleting “a maximum shower size of 36 inches (914 mm) in width and 60 inches (1524 mm) in length” and inserting the following in lieu thereof: “showers having only one shower head rated at a maximum of 2.5 gpm.”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710.1 Backflow Protection. Modify the section by adding the following sentences to the end of the section: “The requirement for the installation of a backwater valve shall apply only when determined necessary by the Authority Having Jurisdiction based on local conditions. When a valve is required by the Authority Having Jurisdiction, it will be a manually operated gate valve or fullway ball valve. An automatic backwater valve may also be installed but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1">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807.3 Domestic Dishwashing Machine. Modify the section by deleting the section and inserting the following language in lieu thereof: “No domestic dishwashing machine shall be directly connected to a drainage system or food waste disposer without the use of an approved dishwasher air gap fitting on the discharge side of the dishwashing machine, or by looping the discharge line of the dishwasher as high as possible near the flood level of the kitchen sink where the waste disposer is connected. Listed air gap fittings shall be installed with the flood level (FL) marking at or above the flood level of the sink or drainboard, whichever is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Section 814.5 Point of Discharge. Delete Section 814.5 and insert the following in lieu thereof: </w:t>
      </w:r>
    </w:p>
    <w:p>
      <w:pPr>
        <w:spacing w:before="0" w:after="0"/>
        <w:ind w:left="120"/>
        <w:jc w:val="both"/>
      </w:pPr>
      <w:r>
        <w:rPr>
          <w:rFonts w:ascii="Times New Roman" w:hAnsi="Times New Roman"/>
          <w:b w:val="false"/>
          <w:i w:val="false"/>
          <w:color w:val="000000"/>
          <w:sz w:val="22"/>
        </w:rPr>
        <w:t>“Section 814.5 Point of Discharge. Air-conditioning condensate waste pipes shall connect indirectly to a properly trapped fixture, floor drain, or open sight drain, or where permitted in Section 814.6, to the drainage system through an air gap or air break to trapped and vented receptors, dry wells, leach pits, sump pump, the tailpiece of plumbing fixtures or indirectly to the building storm sewer through a roof drain. A condensate drain shall be trapped in accordance with appliance manufacturer’s instructions or as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2">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 901.1 Applicability. Modify the section by adding the following sentence to the end of the section: “No engineered single-stack drainage systems shall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906.1 Roof Termination. Modify the section by deleting the last sentence.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Section 908.2.2 Size. Delete the second sentence in this section and insert the following new sentence in lieu thereof: “The wet vent shall be not less than 2 inches (50 mm) in diameter for 6 drainage fixture units (dfu) or less, and not less than 3 inches (80 mm) in diameter for 7 dfu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3">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Table 1002.2 Horizontal Lengths of Trap Arms. Delete the table and insert the following table in lieu thereof:</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765"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TABLE 1002.2</w:t>
            </w:r>
            <w:r>
              <w:br/>
            </w:r>
            <w:r>
              <w:rPr>
                <w:rFonts w:ascii="Times New Roman" w:hAnsi="Times New Roman"/>
                <w:b/>
                <w:i w:val="false"/>
                <w:color w:val="000000"/>
                <w:sz w:val="20"/>
              </w:rPr>
              <w:t>Horizontal Lengths of Trap Arms</w:t>
            </w:r>
            <w:r>
              <w:br/>
            </w:r>
            <w:r>
              <w:rPr>
                <w:rFonts w:ascii="Times New Roman" w:hAnsi="Times New Roman"/>
                <w:b/>
                <w:i w:val="false"/>
                <w:color w:val="000000"/>
                <w:sz w:val="20"/>
              </w:rPr>
              <w:t>(Except for Water Closets and Similar Features)</w:t>
            </w:r>
            <w:r>
              <w:rPr>
                <w:rFonts w:ascii="Times New Roman" w:hAnsi="Times New Roman"/>
                <w:b/>
                <w:i w:val="false"/>
                <w:color w:val="000000"/>
                <w:sz w:val="18"/>
                <w:vertAlign w:val="superscript"/>
              </w:rPr>
              <w:t>1,2</w:t>
            </w:r>
          </w:p>
        </w:tc>
      </w:tr>
    </w:tbl>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49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Trap Arm Diameter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Distance Trap to Vent</w:t>
            </w:r>
            <w:r>
              <w:br/>
            </w:r>
            <w:r>
              <w:rPr>
                <w:rFonts w:ascii="Times New Roman" w:hAnsi="Times New Roman"/>
                <w:b/>
                <w:i w:val="false"/>
                <w:color w:val="000000"/>
                <w:sz w:val="20"/>
              </w:rPr>
              <w:t>Minimum (inches)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Length Maximum (feet)</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1¼</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1½</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r>
        <w:trPr>
          <w:trHeight w:val="255" w:hRule="atLeast"/>
        </w:trPr>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Exceeding 4</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 × Diameter</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w:t>
            </w:r>
          </w:p>
        </w:tc>
      </w:tr>
    </w:tbl>
    <w:tbl>
      <w:tblPr>
        <w:tblW w:w="5000" w:type="pct"/>
        <w:tblCellSpacing w:w="0" w:type="auto"/>
        <w:tblBorders>
          <w:top w:val="none"/>
          <w:left w:val="none"/>
          <w:bottom w:val="none"/>
          <w:right w:val="none"/>
          <w:insideH w:val="none"/>
          <w:insideV w:val="none"/>
        </w:tblBorders>
        <w:tblLayout w:type="fixed"/>
      </w:tblPr>
      <w:tblGrid>
        <w:gridCol w:w="11190"/>
      </w:tblGrid>
      <w:tr>
        <w:trPr>
          <w:trHeight w:val="945" w:hRule="atLeast"/>
        </w:trPr>
        <w:tc>
          <w:tcPr>
            <w:tcW w:w="1119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SI units: 1 inch = 25.4 mm</w:t>
            </w:r>
          </w:p>
          <w:p>
            <w:pPr>
              <w:spacing w:before="0" w:after="0"/>
              <w:ind w:left="160"/>
              <w:jc w:val="left"/>
            </w:pPr>
            <w:r>
              <w:rPr>
                <w:rFonts w:ascii="Times New Roman" w:hAnsi="Times New Roman"/>
                <w:b w:val="false"/>
                <w:i w:val="false"/>
                <w:color w:val="000000"/>
                <w:sz w:val="16"/>
              </w:rPr>
              <w:t>Notes:</w:t>
            </w:r>
          </w:p>
          <w:p>
            <w:pPr>
              <w:spacing w:before="0" w:after="0"/>
              <w:ind w:left="16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5"/>
              </w:rPr>
              <w:t>Maintain ¼ inch per foot slope (20.8 mm/m).</w:t>
            </w:r>
          </w:p>
          <w:p>
            <w:pPr>
              <w:spacing w:before="0" w:after="0"/>
              <w:ind w:left="16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5"/>
              </w:rPr>
              <w:t>The developed length between the trap of a water closet or similar fixture (measured from the top of the closet flange to the inner edge of the vent) and its vent shall not exceed 6 feet (1829 mm).</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1014.1.3 Food Waste Disposers and Dishwashers. Modify the section by deleting the second sentence and inserting the following in lieu thereof: “Commercial food waste disposers shall discharge into the building’s drainage system in accordance with the requirements of the Authority Having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amendments shall apply to UPC Chapter </w:t>
      </w:r>
      <w:hyperlink r:id="rId24">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Sections 1205.0 through 1205.2 Authority to Render Gas Service.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Sections 1207.0 and 1207.1 Temporary Use of Gas. Delete the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Subsection </w:t>
      </w:r>
      <w:hyperlink r:id="rId25">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 xml:space="preserve">.3.5 Corrugated Stainless Steel Tubing. Delete subsection </w:t>
      </w:r>
      <w:hyperlink r:id="rId26">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.3.5 and insert the following in lieu thereof:</w:t>
      </w:r>
    </w:p>
    <w:p>
      <w:pPr>
        <w:spacing w:before="0" w:after="0"/>
        <w:ind w:left="120"/>
        <w:jc w:val="both"/>
      </w:pPr>
      <w:r>
        <w:rPr>
          <w:rFonts w:ascii="Times New Roman" w:hAnsi="Times New Roman"/>
          <w:b w:val="false"/>
          <w:i w:val="false"/>
          <w:color w:val="000000"/>
          <w:sz w:val="22"/>
        </w:rPr>
        <w:t xml:space="preserve">Subsection </w:t>
      </w:r>
      <w:hyperlink r:id="rId27">
        <w:r>
          <w:rPr>
            <w:rStyle w:val="Hyperlink"/>
            <w:rFonts w:ascii="Times New Roman" w:hAnsi="Times New Roman"/>
            <w:b w:val="false"/>
            <w:i w:val="false"/>
            <w:color w:val="000000"/>
            <w:sz w:val="22"/>
          </w:rPr>
          <w:t>1208.5</w:t>
        </w:r>
      </w:hyperlink>
      <w:r>
        <w:rPr>
          <w:rFonts w:ascii="Times New Roman" w:hAnsi="Times New Roman"/>
          <w:b w:val="false"/>
          <w:i w:val="false"/>
          <w:color w:val="000000"/>
          <w:sz w:val="22"/>
        </w:rPr>
        <w:t>.3.5 Corrugated Stainless Steel Tubing. Only CSST with an arc-resistant jacket or covering system listed in accordance with ANSI LC-1 (Optional Section 5.16)/CSA 6.26-2016 shall be installed, in accordance with the terms of its approval, the conditions of listing, the manufacturer’s instructions and this code, including electrical bonding requirements in Section 1211.2. CSST shall not be used for through-wall penetrations from the point of delivery of the gas supply to the inside of the structure and not be installed in locations where subject to physical damage unless protected in an approved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Section 1211.3 Arc-Resistant Jacketed CSST. Delete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amendment shall apply to UPC Chapter </w:t>
      </w:r>
      <w:hyperlink r:id="rId28">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Section 1306.3 Report Items. Modify the section by deleting “Authority Having Jurisdiction” and inserting “responsible facility authority” in lieu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481—425.5</w:t>
      </w:r>
      <w:r>
        <w:rPr>
          <w:rFonts w:ascii="Times New Roman" w:hAnsi="Times New Roman"/>
          <w:b/>
          <w:i w:val="false"/>
          <w:color w:val="000000"/>
          <w:sz w:val="22"/>
        </w:rPr>
        <w:t xml:space="preserve">(105) </w:t>
      </w:r>
      <w:r>
        <w:rPr>
          <w:rFonts w:ascii="Times New Roman" w:hAnsi="Times New Roman"/>
          <w:b/>
          <w:i w:val="false"/>
          <w:color w:val="000000"/>
          <w:sz w:val="22"/>
        </w:rPr>
        <w:t xml:space="preserve">Backflow prevention with containment. </w:t>
      </w:r>
      <w:r>
        <w:rPr>
          <w:rFonts w:ascii="Times New Roman" w:hAnsi="Times New Roman"/>
          <w:b w:val="false"/>
          <w:i w:val="false"/>
          <w:color w:val="000000"/>
          <w:sz w:val="22"/>
        </w:rPr>
        <w:t xml:space="preserve">Cities with populations of 15,000 or greater as determined by the 2010 census or any subsequent regular or special census shall have a backflow prevention program with containment. The minimum requirements for a program are given in subrules </w:t>
      </w:r>
      <w:hyperlink r:id="rId29">
        <w:r>
          <w:rPr>
            <w:rStyle w:val="Hyperlink"/>
            <w:rFonts w:ascii="Times New Roman" w:hAnsi="Times New Roman"/>
            <w:b w:val="false"/>
            <w:i w:val="false"/>
            <w:color w:val="000000"/>
            <w:sz w:val="22"/>
          </w:rPr>
          <w:t>425.5(1)</w:t>
        </w:r>
      </w:hyperlink>
      <w:r>
        <w:rPr>
          <w:rFonts w:ascii="Times New Roman" w:hAnsi="Times New Roman"/>
          <w:b w:val="false"/>
          <w:i w:val="false"/>
          <w:color w:val="000000"/>
          <w:sz w:val="22"/>
        </w:rPr>
        <w:t xml:space="preserve"> through </w:t>
      </w:r>
      <w:hyperlink r:id="rId30">
        <w:r>
          <w:rPr>
            <w:rStyle w:val="Hyperlink"/>
            <w:rFonts w:ascii="Times New Roman" w:hAnsi="Times New Roman"/>
            <w:b w:val="false"/>
            <w:i w:val="false"/>
            <w:color w:val="000000"/>
            <w:sz w:val="22"/>
          </w:rPr>
          <w:t>425.5(5)</w:t>
        </w:r>
      </w:hyperlink>
      <w:r>
        <w:rPr>
          <w:rFonts w:ascii="Times New Roman" w:hAnsi="Times New Roman"/>
          <w:b w:val="false"/>
          <w:i w:val="false"/>
          <w:color w:val="000000"/>
          <w:sz w:val="22"/>
        </w:rPr>
        <w:t>. These requirements are in addition to the applicable requirements of Section 603 of the Uniform Plumbing Code, 2024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following definitions are added to those in Chapter </w:t>
      </w:r>
      <w:hyperlink r:id="rId31">
        <w:r>
          <w:rPr>
            <w:rStyle w:val="Hyperlink"/>
            <w:rFonts w:ascii="Times New Roman" w:hAnsi="Times New Roman"/>
            <w:b w:val="false"/>
            <w:i w:val="false"/>
            <w:color w:val="000000"/>
            <w:sz w:val="22"/>
          </w:rPr>
          <w:t>2</w:t>
        </w:r>
      </w:hyperlink>
      <w:r>
        <w:rPr>
          <w:rFonts w:ascii="Times New Roman" w:hAnsi="Times New Roman"/>
          <w:b w:val="false"/>
          <w:i w:val="false"/>
          <w:color w:val="000000"/>
          <w:sz w:val="22"/>
        </w:rPr>
        <w:t xml:space="preserve"> and Section 603 of the Uniform Plumbing Code, 2024 Edition, or are modified from those definitions for the purposes of rule </w:t>
      </w:r>
      <w:hyperlink r:id="rId32">
        <w:r>
          <w:rPr>
            <w:rStyle w:val="Hyperlink"/>
            <w:rFonts w:ascii="Times New Roman" w:hAnsi="Times New Roman"/>
            <w:b w:val="false"/>
            <w:i w:val="false"/>
            <w:color w:val="000000"/>
            <w:sz w:val="22"/>
          </w:rPr>
          <w:t>481—425.5</w:t>
        </w:r>
      </w:hyperlink>
      <w:r>
        <w:rPr>
          <w:rFonts w:ascii="Times New Roman" w:hAnsi="Times New Roman"/>
          <w:b w:val="false"/>
          <w:i w:val="false"/>
          <w:color w:val="000000"/>
          <w:sz w:val="22"/>
        </w:rPr>
        <w:t>(105)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authority. </w:t>
      </w:r>
      <w:r>
        <w:rPr>
          <w:rFonts w:ascii="Times New Roman" w:hAnsi="Times New Roman"/>
          <w:b w:val="false"/>
          <w:i w:val="false"/>
          <w:color w:val="000000"/>
          <w:sz w:val="22"/>
        </w:rPr>
        <w:t>The administrative authority for this rule is the city council and its designees or, with respect to private water utilities, the Iowa utilities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w:t>
      </w:r>
      <w:r>
        <w:rPr>
          <w:rFonts w:ascii="Times New Roman" w:hAnsi="Times New Roman"/>
          <w:b w:val="false"/>
          <w:i w:val="false"/>
          <w:color w:val="000000"/>
          <w:sz w:val="22"/>
        </w:rPr>
        <w:t>Approved backflow prevention assembly for containment means a backflow prevention assembly that is approved by the University of Southern California Foundation for Cross-Connection Control and Hydraulic Research. The approval listing shall include the limitations of use based on the degree of hazard. The backflow prevention assembly shall also be listed by the International Association of Plumbing and Mechanical Officials (IAPMO) or by the American Society of Sanitary Engineering (ASSE) as having met the requirements of one of the standards listed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963"/>
        <w:gridCol w:w="7227"/>
      </w:tblGrid>
      <w:tr>
        <w:trPr>
          <w:trHeight w:val="28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Standard</w:t>
            </w:r>
          </w:p>
        </w:tc>
        <w:tc>
          <w:tcPr>
            <w:tcW w:w="722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Product Covered</w:t>
            </w:r>
          </w:p>
        </w:tc>
      </w:tr>
      <w:tr>
        <w:trPr>
          <w:trHeight w:val="34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1013-2009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Reduced Pressure Principle Backflow Preventers</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1015-2009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Double Check Backflow Prevention Assembly</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1047-2009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Reduced Pressure Detector Backflow Preventer</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/ASSE* 1048-2009</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Double Check Detector Assembly Backflow Preventer</w:t>
            </w:r>
          </w:p>
        </w:tc>
      </w:tr>
      <w:tr>
        <w:trPr>
          <w:trHeight w:val="315" w:hRule="atLeast"/>
        </w:trPr>
        <w:tc>
          <w:tcPr>
            <w:tcW w:w="39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 xml:space="preserve"> C510-07</w:t>
            </w:r>
          </w:p>
        </w:tc>
        <w:tc>
          <w:tcPr>
            <w:tcW w:w="722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Double Check Valve Backflow Prevention Assembly</w:t>
            </w:r>
          </w:p>
        </w:tc>
      </w:tr>
      <w:tr>
        <w:trPr>
          <w:trHeight w:val="315" w:hRule="atLeast"/>
        </w:trPr>
        <w:tc>
          <w:tcPr>
            <w:tcW w:w="396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ANSI</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/AWWA</w:t>
            </w:r>
            <w:r>
              <w:rPr>
                <w:rFonts w:ascii="Times New Roman" w:hAnsi="Times New Roman"/>
                <w:b w:val="false"/>
                <w:i w:val="false"/>
                <w:color w:val="000000"/>
                <w:sz w:val="18"/>
                <w:vertAlign w:val="superscript"/>
              </w:rPr>
              <w:t>†</w:t>
            </w:r>
            <w:r>
              <w:rPr>
                <w:rFonts w:ascii="Times New Roman" w:hAnsi="Times New Roman"/>
                <w:b w:val="false"/>
                <w:i w:val="false"/>
                <w:color w:val="000000"/>
                <w:sz w:val="20"/>
              </w:rPr>
              <w:t xml:space="preserve"> C511-07</w:t>
            </w:r>
          </w:p>
        </w:tc>
        <w:tc>
          <w:tcPr>
            <w:tcW w:w="7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Reduced-Pressure Principle Backflow Prevention Assembly</w:t>
            </w:r>
          </w:p>
        </w:tc>
      </w:tr>
    </w:tbl>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National Standards Institute, 1899 L Street NW, 11th Floor, Washington, DC 20036</w:t>
      </w:r>
    </w:p>
    <w:p>
      <w:pPr>
        <w:spacing w:before="0" w:after="0"/>
        <w:ind w:left="120"/>
        <w:jc w:val="both"/>
      </w:pPr>
      <w:r>
        <w:rPr>
          <w:rFonts w:ascii="Times New Roman" w:hAnsi="Times New Roman"/>
          <w:b w:val="false"/>
          <w:i w:val="false"/>
          <w:color w:val="000000"/>
          <w:sz w:val="22"/>
        </w:rPr>
        <w:t>*American Society of Sanitary Engineering, 18927 Hickory Creek Drive #220, Mokena, IL 60448</w:t>
      </w:r>
    </w:p>
    <w:p>
      <w:pPr>
        <w:spacing w:before="0" w:after="0"/>
        <w:ind w:left="120"/>
        <w:jc w:val="both"/>
      </w:pPr>
      <w:r>
        <w:rPr>
          <w:rFonts w:ascii="Times New Roman" w:hAnsi="Times New Roman"/>
          <w:b w:val="false"/>
          <w:i w:val="false"/>
          <w:color w:val="000000"/>
          <w:sz w:val="18"/>
          <w:vertAlign w:val="superscript"/>
        </w:rPr>
        <w:t>†</w:t>
      </w:r>
      <w:r>
        <w:rPr>
          <w:rFonts w:ascii="Times New Roman" w:hAnsi="Times New Roman"/>
          <w:b w:val="false"/>
          <w:i w:val="false"/>
          <w:color w:val="000000"/>
          <w:sz w:val="22"/>
        </w:rPr>
        <w:t>American Water Works Association, 6666 West Quincy Avenue, Denver, CO 80235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Approved backflow prevention assembly for containment in a fire protection system. </w:t>
      </w:r>
      <w:r>
        <w:rPr>
          <w:rFonts w:ascii="Times New Roman" w:hAnsi="Times New Roman"/>
          <w:b w:val="false"/>
          <w:i w:val="false"/>
          <w:color w:val="000000"/>
          <w:sz w:val="22"/>
        </w:rPr>
        <w:t xml:space="preserve">Approved backflow prevention assembly for containment in a fire protection system means a backflow prevention assembly to be used in a fire protection system that meets the requirements of Factory Mutual Research Corporation (FM) and Underwriters Laboratory (UL) in addition to the requirements of </w:t>
      </w:r>
      <w:hyperlink r:id="rId33">
        <w:r>
          <w:rPr>
            <w:rStyle w:val="Hyperlink"/>
            <w:rFonts w:ascii="Times New Roman" w:hAnsi="Times New Roman"/>
            <w:b w:val="false"/>
            <w:i w:val="false"/>
            <w:color w:val="000000"/>
            <w:sz w:val="22"/>
          </w:rPr>
          <w:t>25.5(1)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Containment is a method of backflow prevention that requires a backflow prevention assembly on certain water services. Containment requires that the backflow prevention assembly be installed on the water service as close to the public water supply main as is 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Customer means the owner, operator or occupant of a building or property that has a water service from a public water system, or the owner or operator of a private water system that has a water service from a public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Degree of hazard. </w:t>
      </w:r>
      <w:r>
        <w:rPr>
          <w:rFonts w:ascii="Times New Roman" w:hAnsi="Times New Roman"/>
          <w:b w:val="false"/>
          <w:i w:val="false"/>
          <w:color w:val="000000"/>
          <w:sz w:val="22"/>
        </w:rPr>
        <w:t>Degree of hazard means the rating of a cross connection or a water service that indicates whether it has the potential to cause contamination (high hazard) or pollution (low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service. </w:t>
      </w:r>
      <w:r>
        <w:rPr>
          <w:rFonts w:ascii="Times New Roman" w:hAnsi="Times New Roman"/>
          <w:b w:val="false"/>
          <w:i w:val="false"/>
          <w:color w:val="000000"/>
          <w:sz w:val="22"/>
        </w:rPr>
        <w:t>Depending on the context, water service is the physical connection between a public water system and a customer’s building, property or private water system, or the act of providing potable water from a public water system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425.5(2)</w:t>
      </w:r>
      <w:r>
        <w:rPr>
          <w:rFonts w:ascii="Times New Roman" w:hAnsi="Times New Roman"/>
          <w:b w:val="false"/>
          <w:i w:val="false"/>
          <w:color w:val="000000"/>
          <w:sz w:val="22"/>
        </w:rPr>
        <w:t> </w:t>
      </w:r>
      <w:r>
        <w:rPr>
          <w:rFonts w:ascii="Times New Roman" w:hAnsi="Times New Roman"/>
          <w:b w:val="false"/>
          <w:i/>
          <w:color w:val="000000"/>
          <w:sz w:val="22"/>
        </w:rPr>
        <w:t xml:space="preserve">Proposed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install, or cause to have installed, a water service to a building, property or private water system before the administrative authority has evaluated the proposed water service for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will require the submission of plans, specifications and other information deemed necessary for a building, property or private water system to which a water service is proposed. The administrative authority will review the information submitted to determine if cross connections will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of a building, property or private water system shall install, or cause to have installed, an approved backflow prevention assembly for containment as directed by the administrative authority before water service is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of an existing water service shall be treated as a proposed water service for the purposes of rule </w:t>
      </w:r>
      <w:hyperlink r:id="rId34">
        <w:r>
          <w:rPr>
            <w:rStyle w:val="Hyperlink"/>
            <w:rFonts w:ascii="Times New Roman" w:hAnsi="Times New Roman"/>
            <w:b w:val="false"/>
            <w:i w:val="false"/>
            <w:color w:val="000000"/>
            <w:sz w:val="22"/>
          </w:rPr>
          <w:t>481—425.5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425.5(3)</w:t>
      </w:r>
      <w:r>
        <w:rPr>
          <w:rFonts w:ascii="Times New Roman" w:hAnsi="Times New Roman"/>
          <w:b w:val="false"/>
          <w:i w:val="false"/>
          <w:color w:val="000000"/>
          <w:sz w:val="22"/>
        </w:rPr>
        <w:t> </w:t>
      </w:r>
      <w:r>
        <w:rPr>
          <w:rFonts w:ascii="Times New Roman" w:hAnsi="Times New Roman"/>
          <w:b w:val="false"/>
          <w:i/>
          <w:color w:val="000000"/>
          <w:sz w:val="22"/>
        </w:rPr>
        <w:t xml:space="preserve">Existing water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customer shall survey the activities and processes that receive water from the water service and report to the administrative authority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inspect the plumbing of any building, property and private water system that has a water service to determine if cross connections exist and the degree of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based on information provided through paragraphs </w:t>
      </w:r>
      <w:hyperlink r:id="rId35">
        <w:r>
          <w:rPr>
            <w:rStyle w:val="Hyperlink"/>
            <w:rFonts w:ascii="Times New Roman" w:hAnsi="Times New Roman"/>
            <w:b w:val="false"/>
            <w:i w:val="false"/>
            <w:color w:val="000000"/>
            <w:sz w:val="22"/>
          </w:rPr>
          <w:t>425.5(3)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the administrative authority determines that a water service may contaminate the public water supply, the administrative authority will require that the customer install the appropriate backflow prevention assembly for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customer refuses to install a backflow prevention assembly for containment when it is required by the administrative authority, the administrative authority may order that water service to the customer be discontinued until an appropriate backflow prevention assembly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425.5(4)</w:t>
      </w:r>
      <w:r>
        <w:rPr>
          <w:rFonts w:ascii="Times New Roman" w:hAnsi="Times New Roman"/>
          <w:b w:val="false"/>
          <w:i w:val="false"/>
          <w:color w:val="000000"/>
          <w:sz w:val="22"/>
        </w:rPr>
        <w:t> </w:t>
      </w:r>
      <w:r>
        <w:rPr>
          <w:rFonts w:ascii="Times New Roman" w:hAnsi="Times New Roman"/>
          <w:b w:val="false"/>
          <w:i/>
          <w:color w:val="000000"/>
          <w:sz w:val="22"/>
        </w:rPr>
        <w:t xml:space="preserve">Backflow prevention assemblies for containment. </w:t>
      </w:r>
      <w:r>
        <w:rPr>
          <w:rFonts w:ascii="Times New Roman" w:hAnsi="Times New Roman"/>
          <w:b w:val="false"/>
          <w:i w:val="false"/>
          <w:color w:val="000000"/>
          <w:sz w:val="22"/>
        </w:rPr>
        <w:t>The following standards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Backflow prevention assemblies for containment will be installed immediately following the water meter or as close to that location as deemed practical by the administrative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water service determined to present a high hazard will be protected by an air gap or an approved reduced-pressure principle backflow 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service determined to present a low hazard will be protected by an approved double check valve assembly or as in paragraph </w:t>
      </w:r>
      <w:hyperlink r:id="rId36">
        <w:r>
          <w:rPr>
            <w:rStyle w:val="Hyperlink"/>
            <w:rFonts w:ascii="Times New Roman" w:hAnsi="Times New Roman"/>
            <w:b w:val="false"/>
            <w:i w:val="false"/>
            <w:color w:val="000000"/>
            <w:sz w:val="22"/>
          </w:rPr>
          <w:t>425.5(4)</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water service to a fire protection system will be protected from backflow in accordance with the recommendations of American Water Works Association Manual M14, fourth edition. Where backflow prevention is required for a fire protection system, an approved backflow prevention assembly for containment in a fire protection system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425.5(5)</w:t>
      </w:r>
      <w:r>
        <w:rPr>
          <w:rFonts w:ascii="Times New Roman" w:hAnsi="Times New Roman"/>
          <w:b w:val="false"/>
          <w:i w:val="false"/>
          <w:color w:val="000000"/>
          <w:sz w:val="22"/>
        </w:rPr>
        <w:t> </w:t>
      </w:r>
      <w:r>
        <w:rPr>
          <w:rFonts w:ascii="Times New Roman" w:hAnsi="Times New Roman"/>
          <w:b w:val="false"/>
          <w:i/>
          <w:color w:val="000000"/>
          <w:sz w:val="22"/>
        </w:rPr>
        <w:t xml:space="preserve">Backflow incidents.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customer shall immediately notify the agency providing water service when the customer becomes aware that backflow has occurred in the building, property or private water system receiving water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authority may order that a water service be temporarily shut off when a backflow occurs in a customer’s building, property or private water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8913C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12/3/81, Notice 9/2/81—published 12/23/81, effective 1/27/82]</w:t>
      </w:r>
    </w:p>
    <w:p>
      <w:pPr>
        <w:spacing w:before="0" w:after="0"/>
        <w:ind w:left="120"/>
        <w:jc w:val="center"/>
      </w:pPr>
      <w:r>
        <w:rPr>
          <w:rFonts w:ascii="Times New Roman" w:hAnsi="Times New Roman"/>
          <w:b w:val="false"/>
          <w:i w:val="false"/>
          <w:color w:val="000000"/>
          <w:sz w:val="21"/>
        </w:rPr>
        <w:t>[Filed 2/24/84, Notice 10/26/83—published 3/14/84, effective 4/18/84]</w:t>
      </w:r>
    </w:p>
    <w:p>
      <w:pPr>
        <w:spacing w:before="0" w:after="0"/>
        <w:ind w:left="120"/>
        <w:jc w:val="center"/>
      </w:pPr>
      <w:r>
        <w:rPr>
          <w:rFonts w:ascii="Times New Roman" w:hAnsi="Times New Roman"/>
          <w:b w:val="false"/>
          <w:i w:val="false"/>
          <w:color w:val="000000"/>
          <w:sz w:val="21"/>
        </w:rPr>
        <w:t>[Filed emergency 7/11/86 after Notice 4/23/86—published 7/30/86, effective 7/11/86]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1/17/89, Notice 11/16/88—published 2/8/89, effective 3/15/89]</w:t>
      </w:r>
    </w:p>
    <w:p>
      <w:pPr>
        <w:spacing w:before="0" w:after="0"/>
        <w:ind w:left="120"/>
        <w:jc w:val="center"/>
      </w:pPr>
      <w:r>
        <w:rPr>
          <w:rFonts w:ascii="Times New Roman" w:hAnsi="Times New Roman"/>
          <w:b w:val="false"/>
          <w:i w:val="false"/>
          <w:color w:val="000000"/>
          <w:sz w:val="21"/>
        </w:rPr>
        <w:t>[Filed 7/17/92, Notice 1/22/92—published 8/5/92, effective 9/9/92]</w:t>
      </w:r>
    </w:p>
    <w:p>
      <w:pPr>
        <w:spacing w:before="0" w:after="0"/>
        <w:ind w:left="120"/>
        <w:jc w:val="center"/>
      </w:pPr>
      <w:r>
        <w:rPr>
          <w:rFonts w:ascii="Times New Roman" w:hAnsi="Times New Roman"/>
          <w:b w:val="false"/>
          <w:i w:val="false"/>
          <w:color w:val="000000"/>
          <w:sz w:val="21"/>
        </w:rPr>
        <w:t>[Filed 5/13/96, Notice 3/13/96—published 6/5/96, effective 7/10/96]</w:t>
      </w:r>
    </w:p>
    <w:p>
      <w:pPr>
        <w:spacing w:before="0" w:after="0"/>
        <w:ind w:left="120"/>
        <w:jc w:val="center"/>
      </w:pPr>
      <w:r>
        <w:rPr>
          <w:rFonts w:ascii="Times New Roman" w:hAnsi="Times New Roman"/>
          <w:b w:val="false"/>
          <w:i w:val="false"/>
          <w:color w:val="000000"/>
          <w:sz w:val="21"/>
        </w:rPr>
        <w:t>[Filed 9/14/01, Notice 8/8/01—published 10/3/01, effective 11/19/01]</w:t>
      </w:r>
    </w:p>
    <w:p>
      <w:pPr>
        <w:spacing w:before="0" w:after="0"/>
        <w:ind w:left="120"/>
        <w:jc w:val="center"/>
      </w:pPr>
      <w:r>
        <w:rPr>
          <w:rFonts w:ascii="Times New Roman" w:hAnsi="Times New Roman"/>
          <w:b w:val="false"/>
          <w:i w:val="false"/>
          <w:color w:val="000000"/>
          <w:sz w:val="21"/>
        </w:rPr>
        <w:t>[Filed ARC 8860B</w:t>
      </w:r>
      <w:r>
        <w:rPr>
          <w:rFonts w:ascii="Times New Roman" w:hAnsi="Times New Roman"/>
          <w:b w:val="false"/>
          <w:i w:val="false"/>
          <w:color w:val="000000"/>
          <w:sz w:val="21"/>
        </w:rPr>
        <w:t xml:space="preserve"> (Notice ARC 8703B, IAB 4/21/10)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1089C</w:t>
      </w:r>
      <w:r>
        <w:rPr>
          <w:rFonts w:ascii="Times New Roman" w:hAnsi="Times New Roman"/>
          <w:b w:val="false"/>
          <w:i w:val="false"/>
          <w:color w:val="000000"/>
          <w:sz w:val="21"/>
        </w:rPr>
        <w:t xml:space="preserve"> (Notice ARC 0811C, IAB 6/26/13)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2474C</w:t>
      </w:r>
      <w:r>
        <w:rPr>
          <w:rFonts w:ascii="Times New Roman" w:hAnsi="Times New Roman"/>
          <w:b w:val="false"/>
          <w:i w:val="false"/>
          <w:color w:val="000000"/>
          <w:sz w:val="21"/>
        </w:rPr>
        <w:t xml:space="preserve"> (Notice ARC 2317C, IAB 12/23/15)</w:t>
      </w:r>
      <w:r>
        <w:rPr>
          <w:rFonts w:ascii="Times New Roman" w:hAnsi="Times New Roman"/>
          <w:b w:val="false"/>
          <w:i w:val="false"/>
          <w:color w:val="000000"/>
          <w:sz w:val="21"/>
        </w:rPr>
        <w:t>, IAB 3/30/16, effective 6/1/16]</w:t>
      </w:r>
    </w:p>
    <w:p>
      <w:pPr>
        <w:spacing w:before="0" w:after="0"/>
        <w:ind w:left="120"/>
        <w:jc w:val="center"/>
      </w:pPr>
      <w:r>
        <w:rPr>
          <w:rFonts w:ascii="Times New Roman" w:hAnsi="Times New Roman"/>
          <w:b w:val="false"/>
          <w:i w:val="false"/>
          <w:color w:val="000000"/>
          <w:sz w:val="21"/>
        </w:rPr>
        <w:t>[Filed Emergency ARC 2614C, IAB 7/6/16, effective 6/15/16]</w:t>
      </w:r>
    </w:p>
    <w:p>
      <w:pPr>
        <w:spacing w:before="0" w:after="0"/>
        <w:ind w:left="120"/>
        <w:jc w:val="center"/>
      </w:pPr>
      <w:r>
        <w:rPr>
          <w:rFonts w:ascii="Times New Roman" w:hAnsi="Times New Roman"/>
          <w:b w:val="false"/>
          <w:i w:val="false"/>
          <w:color w:val="000000"/>
          <w:sz w:val="21"/>
        </w:rPr>
        <w:t>[Filed ARC 3062C</w:t>
      </w:r>
      <w:r>
        <w:rPr>
          <w:rFonts w:ascii="Times New Roman" w:hAnsi="Times New Roman"/>
          <w:b w:val="false"/>
          <w:i w:val="false"/>
          <w:color w:val="000000"/>
          <w:sz w:val="21"/>
        </w:rPr>
        <w:t xml:space="preserve"> (Notice ARC 2900C,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4611C</w:t>
      </w:r>
      <w:r>
        <w:rPr>
          <w:rFonts w:ascii="Times New Roman" w:hAnsi="Times New Roman"/>
          <w:b w:val="false"/>
          <w:i w:val="false"/>
          <w:color w:val="000000"/>
          <w:sz w:val="21"/>
        </w:rPr>
        <w:t xml:space="preserve"> (Notice ARC 4447C, IAB 5/22/19)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5626C</w:t>
      </w:r>
      <w:r>
        <w:rPr>
          <w:rFonts w:ascii="Times New Roman" w:hAnsi="Times New Roman"/>
          <w:b w:val="false"/>
          <w:i w:val="false"/>
          <w:color w:val="000000"/>
          <w:sz w:val="21"/>
        </w:rPr>
        <w:t xml:space="preserve"> (Notice ARC 5478C, IAB 2/24/21)</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8913C</w:t>
      </w:r>
      <w:r>
        <w:rPr>
          <w:rFonts w:ascii="Times New Roman" w:hAnsi="Times New Roman"/>
          <w:b w:val="false"/>
          <w:i w:val="false"/>
          <w:color w:val="000000"/>
          <w:sz w:val="21"/>
        </w:rPr>
        <w:t xml:space="preserve"> (Notice ARC 8669C, IAB 12/25/24)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4.pdf" Type="http://schemas.openxmlformats.org/officeDocument/2006/relationships/hyperlink" Id="rId5"/>
    <Relationship TargetMode="External" Target="http://www.ICCSAFE.org" Type="http://schemas.openxmlformats.org/officeDocument/2006/relationships/hyperlink" Id="rId6"/>
    <Relationship TargetMode="External" Target="https://www.legis.iowa.gov/docs/iac/chapter/641.12.pdf" Type="http://schemas.openxmlformats.org/officeDocument/2006/relationships/hyperlink" Id="rId7"/>
    <Relationship TargetMode="External" Target="https://www.legis.iowa.gov/docs/iac/chapter/661.226.pdf" Type="http://schemas.openxmlformats.org/officeDocument/2006/relationships/hyperlink" Id="rId8"/>
    <Relationship TargetMode="External" Target="https://www.legis.iowa.gov/docs/iac/chapter/661.226.pdf" Type="http://schemas.openxmlformats.org/officeDocument/2006/relationships/hyperlink" Id="rId9"/>
    <Relationship TargetMode="External" Target="https://www.legis.iowa.gov/docs/iac/rule/481.425.1.pdf" Type="http://schemas.openxmlformats.org/officeDocument/2006/relationships/hyperlink" Id="rId10"/>
    <Relationship TargetMode="External" Target="https://www.legis.iowa.gov/docs/iac/chapter/641.1.pdf" Type="http://schemas.openxmlformats.org/officeDocument/2006/relationships/hyperlink" Id="rId11"/>
    <Relationship TargetMode="External" Target="https://www.legis.iowa.gov/docs/iac/chapter/641.3.pdf" Type="http://schemas.openxmlformats.org/officeDocument/2006/relationships/hyperlink" Id="rId12"/>
    <Relationship TargetMode="External" Target="https://www.legis.iowa.gov/docs/ico/chapter/314.4.pdf" Type="http://schemas.openxmlformats.org/officeDocument/2006/relationships/hyperlink" Id="rId13"/>
    <Relationship TargetMode="External" Target="https://www.legis.iowa.gov/docs/iac/chapter/641.4.pdf" Type="http://schemas.openxmlformats.org/officeDocument/2006/relationships/hyperlink" Id="rId14"/>
    <Relationship TargetMode="External" Target="http://www.ICCSAFE.org" Type="http://schemas.openxmlformats.org/officeDocument/2006/relationships/hyperlink" Id="rId15"/>
    <Relationship TargetMode="External" Target="https://www.legis.iowa.gov/docs/iac/chapter/641.4.pdf" Type="http://schemas.openxmlformats.org/officeDocument/2006/relationships/hyperlink" Id="rId16"/>
    <Relationship TargetMode="External" Target="https://www.legis.iowa.gov/docs/ico/chapter/424.2.pdf" Type="http://schemas.openxmlformats.org/officeDocument/2006/relationships/hyperlink" Id="rId17"/>
    <Relationship TargetMode="External" Target="https://www.legis.iowa.gov/docs/iac/chapter/641.6.pdf" Type="http://schemas.openxmlformats.org/officeDocument/2006/relationships/hyperlink" Id="rId18"/>
    <Relationship TargetMode="External" Target="https://www.legis.iowa.gov/docs/ico/chapter/612.0.pdf" Type="http://schemas.openxmlformats.org/officeDocument/2006/relationships/hyperlink" Id="rId19"/>
    <Relationship TargetMode="External" Target="https://www.legis.iowa.gov/docs/iac/chapter/641.7.pdf" Type="http://schemas.openxmlformats.org/officeDocument/2006/relationships/hyperlink" Id="rId20"/>
    <Relationship TargetMode="External" Target="https://www.legis.iowa.gov/docs/iac/chapter/641.8.pdf" Type="http://schemas.openxmlformats.org/officeDocument/2006/relationships/hyperlink" Id="rId21"/>
    <Relationship TargetMode="External" Target="https://www.legis.iowa.gov/docs/iac/chapter/641.9.pdf" Type="http://schemas.openxmlformats.org/officeDocument/2006/relationships/hyperlink" Id="rId22"/>
    <Relationship TargetMode="External" Target="https://www.legis.iowa.gov/docs/iac/chapter/641.10.pdf" Type="http://schemas.openxmlformats.org/officeDocument/2006/relationships/hyperlink" Id="rId23"/>
    <Relationship TargetMode="External" Target="https://www.legis.iowa.gov/docs/iac/chapter/641.12.pdf" Type="http://schemas.openxmlformats.org/officeDocument/2006/relationships/hyperlink" Id="rId24"/>
    <Relationship TargetMode="External" Target="https://www.legis.iowa.gov/docs/ico/chapter/1208.5.pdf" Type="http://schemas.openxmlformats.org/officeDocument/2006/relationships/hyperlink" Id="rId25"/>
    <Relationship TargetMode="External" Target="https://www.legis.iowa.gov/docs/ico/chapter/1208.5.pdf" Type="http://schemas.openxmlformats.org/officeDocument/2006/relationships/hyperlink" Id="rId26"/>
    <Relationship TargetMode="External" Target="https://www.legis.iowa.gov/docs/ico/chapter/1208.5.pdf" Type="http://schemas.openxmlformats.org/officeDocument/2006/relationships/hyperlink" Id="rId27"/>
    <Relationship TargetMode="External" Target="https://www.legis.iowa.gov/docs/iac/chapter/641.13.pdf" Type="http://schemas.openxmlformats.org/officeDocument/2006/relationships/hyperlink" Id="rId28"/>
    <Relationship TargetMode="External" Target="https://www.legis.iowa.gov/docs/iac/rule/481.425.5.pdf" Type="http://schemas.openxmlformats.org/officeDocument/2006/relationships/hyperlink" Id="rId29"/>
    <Relationship TargetMode="External" Target="https://www.legis.iowa.gov/docs/iac/rule/481.425.5.pdf" Type="http://schemas.openxmlformats.org/officeDocument/2006/relationships/hyperlink" Id="rId30"/>
    <Relationship TargetMode="External" Target="https://www.legis.iowa.gov/docs/iac/chapter/641.2.pdf" Type="http://schemas.openxmlformats.org/officeDocument/2006/relationships/hyperlink" Id="rId31"/>
    <Relationship TargetMode="External" Target="https://www.legis.iowa.gov/docs/iac/rule/481.425.5.pdf" Type="http://schemas.openxmlformats.org/officeDocument/2006/relationships/hyperlink" Id="rId32"/>
    <Relationship TargetMode="External" Target="https://www.legis.iowa.gov/docs/iac/rule/641.25.5.pdf" Type="http://schemas.openxmlformats.org/officeDocument/2006/relationships/hyperlink" Id="rId33"/>
    <Relationship TargetMode="External" Target="https://www.legis.iowa.gov/docs/iac/rule/481.425.5.pdf" Type="http://schemas.openxmlformats.org/officeDocument/2006/relationships/hyperlink" Id="rId34"/>
    <Relationship TargetMode="External" Target="https://www.legis.iowa.gov/docs/iac/rule/641.425.5.pdf" Type="http://schemas.openxmlformats.org/officeDocument/2006/relationships/hyperlink" Id="rId35"/>
    <Relationship TargetMode="External" Target="https://www.legis.iowa.gov/docs/iac/rule/641.425.5.pdf" Type="http://schemas.openxmlformats.org/officeDocument/2006/relationships/hyperlink" Id="rId36"/>
    <Relationship TargetMode="External" Target="https://www.legis.iowa.gov/docs/ico/chapter/105.pdf" Type="http://schemas.openxmlformats.org/officeDocument/2006/relationships/hyperlink"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