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INSPECTIONS DIVISION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FOOD AND CONSUMER SAFETY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481—30.1</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Food and consumer safety bureau. </w:t>
      </w:r>
      <w:r>
        <w:rPr>
          <w:rFonts w:ascii="Times New Roman" w:hAnsi="Times New Roman"/>
          <w:b w:val="false"/>
          <w:i w:val="false"/>
          <w:color w:val="000000"/>
          <w:sz w:val="22"/>
        </w:rPr>
        <w:t>The food and consumer safety bureau inspects food establishments and food processing plants including food storage facilities (warehouses), food and beverage vending machines, and hotels and motels. The food and consumer safety bureau is also responsible for social and charitable gambling and amusement devices. Separate chapters have been established for the administration of social and charitable gambling (</w:t>
      </w:r>
      <w:hyperlink r:id="rId5">
        <w:r>
          <w:rPr>
            <w:rStyle w:val="Hyperlink"/>
            <w:rFonts w:ascii="Times New Roman" w:hAnsi="Times New Roman"/>
            <w:b w:val="false"/>
            <w:i w:val="false"/>
            <w:color w:val="000000"/>
            <w:sz w:val="22"/>
          </w:rPr>
          <w:t>481—Chapters 100</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106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107</w:t>
        </w:r>
      </w:hyperlink>
      <w:r>
        <w:rPr>
          <w:rFonts w:ascii="Times New Roman" w:hAnsi="Times New Roman"/>
          <w:b w:val="false"/>
          <w:i w:val="false"/>
          <w:color w:val="000000"/>
          <w:sz w:val="22"/>
        </w:rPr>
        <w:t>) and amusement devices (</w:t>
      </w:r>
      <w:hyperlink r:id="rId9">
        <w:r>
          <w:rPr>
            <w:rStyle w:val="Hyperlink"/>
            <w:rFonts w:ascii="Times New Roman" w:hAnsi="Times New Roman"/>
            <w:b w:val="false"/>
            <w:i w:val="false"/>
            <w:color w:val="000000"/>
            <w:sz w:val="22"/>
          </w:rPr>
          <w:t>481—Chapters 104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chapters </w:t>
      </w:r>
      <w:hyperlink r:id="rId13">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3187C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3768C</w:t>
      </w:r>
      <w:r>
        <w:rPr>
          <w:rFonts w:ascii="Times New Roman" w:hAnsi="Times New Roman"/>
          <w:b w:val="false"/>
          <w:i w:val="false"/>
          <w:color w:val="000000"/>
          <w:sz w:val="16"/>
        </w:rPr>
        <w:t>, IAB 4/25/18, effective 5/30/18</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481—30.2</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If both the 2017 Food and Drug Administration Food Code with Supplement and rule </w:t>
      </w:r>
      <w:hyperlink r:id="rId15">
        <w:r>
          <w:rPr>
            <w:rStyle w:val="Hyperlink"/>
            <w:rFonts w:ascii="Times New Roman" w:hAnsi="Times New Roman"/>
            <w:b w:val="false"/>
            <w:i w:val="false"/>
            <w:color w:val="000000"/>
            <w:sz w:val="22"/>
          </w:rPr>
          <w:t>481—30.2</w:t>
        </w:r>
      </w:hyperlink>
      <w:r>
        <w:rPr>
          <w:rFonts w:ascii="Times New Roman" w:hAnsi="Times New Roman"/>
          <w:b w:val="false"/>
          <w:i w:val="false"/>
          <w:color w:val="000000"/>
          <w:sz w:val="22"/>
        </w:rPr>
        <w:t xml:space="preserve">(10A,137C,137F) define a term, the definition in rule </w:t>
      </w:r>
      <w:hyperlink r:id="rId16">
        <w:r>
          <w:rPr>
            <w:rStyle w:val="Hyperlink"/>
            <w:rFonts w:ascii="Times New Roman" w:hAnsi="Times New Roman"/>
            <w:b w:val="false"/>
            <w:i w:val="false"/>
            <w:color w:val="000000"/>
            <w:sz w:val="22"/>
          </w:rPr>
          <w:t>481—30.2</w:t>
        </w:r>
      </w:hyperlink>
      <w:r>
        <w:rPr>
          <w:rFonts w:ascii="Times New Roman" w:hAnsi="Times New Roman"/>
          <w:b w:val="false"/>
          <w:i w:val="false"/>
          <w:color w:val="000000"/>
          <w:sz w:val="22"/>
        </w:rPr>
        <w:t>(10A,137C,137F)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 and breakfast home” </w:t>
      </w:r>
      <w:r>
        <w:rPr>
          <w:rFonts w:ascii="Times New Roman" w:hAnsi="Times New Roman"/>
          <w:b w:val="false"/>
          <w:i w:val="false"/>
          <w:color w:val="000000"/>
          <w:sz w:val="22"/>
        </w:rPr>
        <w:t>means a private residence which provides lodging and meals for guests, in which the host or hostess resides, and in which no more than four guest families are lodged at the same time. The facility may advertise as a bed and breakfast home but not as a hotel, motel or restaurant. The facility is exempt from licensing and inspection as a hotel or as a food establishment. A bed and breakfast home may serve food only to overnight guests, unless a food establishment license is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 and breakfast inn”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137C.2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“Catering” </w:t>
      </w:r>
      <w:r>
        <w:rPr>
          <w:rFonts w:ascii="Times New Roman" w:hAnsi="Times New Roman"/>
          <w:b w:val="false"/>
          <w:i w:val="false"/>
          <w:color w:val="000000"/>
          <w:sz w:val="22"/>
        </w:rPr>
        <w:t xml:space="preserve">means the preparation of food for distribution to an individual, business or organization for exclusive service to the individual’s, business’s or organization’s nonpaying guests, employees or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wild-harvested mushroom identification expert” </w:t>
      </w:r>
      <w:r>
        <w:rPr>
          <w:rFonts w:ascii="Times New Roman" w:hAnsi="Times New Roman"/>
          <w:b w:val="false"/>
          <w:i w:val="false"/>
          <w:color w:val="000000"/>
          <w:sz w:val="22"/>
        </w:rPr>
        <w:t>means an individual who has within the last three years successfully completed a wild-harvested mushroom identification training program provided by an accredited college, university, or state mycological society. The training program must include a component of actual identification of physical specimens or simulations of mushroom species. A document must be issued by an accredited college, accredited university, or state mycological society certifying the individual’s successful completion of the wild-harvested mushroom identification training program and specifying the species of wild mushrooms the individual is qualified to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“Commissary” </w:t>
      </w:r>
      <w:r>
        <w:rPr>
          <w:rFonts w:ascii="Times New Roman" w:hAnsi="Times New Roman"/>
          <w:b w:val="false"/>
          <w:i w:val="false"/>
          <w:color w:val="000000"/>
          <w:sz w:val="22"/>
        </w:rPr>
        <w:t>means a food establishment used for preparing, fabricating, packaging and storage of food or food products for distribution and sale through the food establishment’s own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a municipal corporation, county or other political subdivision that contracts with the department to license and inspect under Iowa Code chapter </w:t>
      </w:r>
      <w:hyperlink r:id="rId18">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 list of contractors is maintained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“Cottage food” </w:t>
      </w:r>
      <w:r>
        <w:rPr>
          <w:rFonts w:ascii="Times New Roman" w:hAnsi="Times New Roman"/>
          <w:b w:val="false"/>
          <w:i w:val="false"/>
          <w:color w:val="000000"/>
          <w:sz w:val="22"/>
        </w:rPr>
        <w:t xml:space="preserve">means the production and sale of food produced at a private residence other than time/temperature control for safety food as provided in Iowa Code section 137F.20 as enacted by </w:t>
      </w:r>
      <w:r>
        <w:rPr>
          <w:rFonts w:ascii="Times New Roman" w:hAnsi="Times New Roman"/>
          <w:b w:val="false"/>
          <w:i w:val="false"/>
          <w:color w:val="000000"/>
          <w:sz w:val="22"/>
        </w:rPr>
        <w:t>2022 Iowa Acts, House File 2431</w:t>
      </w:r>
      <w:r>
        <w:rPr>
          <w:rFonts w:ascii="Times New Roman" w:hAnsi="Times New Roman"/>
          <w:b w:val="false"/>
          <w:i w:val="false"/>
          <w:color w:val="000000"/>
          <w:sz w:val="22"/>
        </w:rPr>
        <w:t>, section 10, and food for resale that is not time/temperature control for safety food. “Cottage food” includes home-processed and home-canned pickles, vegetables, or fruits that have a finished equilibrium pH value of 4.60 or lower or a water activity value of 0.85 or less for which each batch has been measured by a pH meter or a water activity meter and each container that is sold or offered for sale contains the date the food was processed and canned. “Cottage food”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Milk or milk products regulated under Iowa Code chapters </w:t>
      </w:r>
      <w:hyperlink r:id="rId20">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Meat, meat food products, poultry, or poultry food products regulated under Iowa Code chapter </w:t>
      </w:r>
      <w:hyperlink r:id="rId22">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“Criminal offense” </w:t>
      </w:r>
      <w:r>
        <w:rPr>
          <w:rFonts w:ascii="Times New Roman" w:hAnsi="Times New Roman"/>
          <w:b w:val="false"/>
          <w:i w:val="false"/>
          <w:color w:val="000000"/>
          <w:sz w:val="22"/>
        </w:rPr>
        <w:t xml:space="preserve">means a public offense, as defined in Iowa Code section </w:t>
      </w:r>
      <w:hyperlink r:id="rId23">
        <w:r>
          <w:rPr>
            <w:rStyle w:val="Hyperlink"/>
            <w:rFonts w:ascii="Times New Roman" w:hAnsi="Times New Roman"/>
            <w:b w:val="false"/>
            <w:i w:val="false"/>
            <w:color w:val="000000"/>
            <w:sz w:val="22"/>
          </w:rPr>
          <w:t>701.2</w:t>
        </w:r>
      </w:hyperlink>
      <w:r>
        <w:rPr>
          <w:rFonts w:ascii="Times New Roman" w:hAnsi="Times New Roman"/>
          <w:b w:val="false"/>
          <w:i w:val="false"/>
          <w:color w:val="000000"/>
          <w:sz w:val="22"/>
        </w:rPr>
        <w:t>, that is prohibited by statute and is punishable by fine or imprisonment.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violation” </w:t>
      </w:r>
      <w:r>
        <w:rPr>
          <w:rFonts w:ascii="Times New Roman" w:hAnsi="Times New Roman"/>
          <w:b w:val="false"/>
          <w:i w:val="false"/>
          <w:color w:val="000000"/>
          <w:sz w:val="22"/>
        </w:rPr>
        <w:t xml:space="preserve">means a foodborne illness risk factor and public health intervention and the violations defined as such by the Food Code adopted in rule </w:t>
      </w:r>
      <w:hyperlink r:id="rId24">
        <w:r>
          <w:rPr>
            <w:rStyle w:val="Hyperlink"/>
            <w:rFonts w:ascii="Times New Roman" w:hAnsi="Times New Roman"/>
            <w:b w:val="false"/>
            <w:i w:val="false"/>
            <w:color w:val="000000"/>
            <w:sz w:val="22"/>
          </w:rPr>
          <w:t>481—31.1</w:t>
        </w:r>
      </w:hyperlink>
      <w:r>
        <w:rPr>
          <w:rFonts w:ascii="Times New Roman" w:hAnsi="Times New Roman"/>
          <w:b w:val="false"/>
          <w:i w:val="false"/>
          <w:color w:val="000000"/>
          <w:sz w:val="22"/>
        </w:rPr>
        <w:t xml:space="preserve">(137F) and pursuant to Iowa Code section </w:t>
      </w:r>
      <w:hyperlink r:id="rId25">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“Cultivated mushroom” </w:t>
      </w:r>
      <w:r>
        <w:rPr>
          <w:rFonts w:ascii="Times New Roman" w:hAnsi="Times New Roman"/>
          <w:b w:val="false"/>
          <w:i w:val="false"/>
          <w:color w:val="000000"/>
          <w:sz w:val="22"/>
        </w:rPr>
        <w:t>means a mushroom grown through a process in which the grower inoculates a substrate (logs, beds, straw, etc.) with a known strain or species of mushroom spawn in a dedicated space, whether outdoors or indoors, that is under the control of the grower, for the purpose of fruiting mushrooms.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“Event” </w:t>
      </w:r>
      <w:r>
        <w:rPr>
          <w:rFonts w:ascii="Times New Roman" w:hAnsi="Times New Roman"/>
          <w:b w:val="false"/>
          <w:i w:val="false"/>
          <w:color w:val="000000"/>
          <w:sz w:val="22"/>
        </w:rPr>
        <w:t>means a significant occurrence or happening sponsored by a civic, business, governmental, community, or veterans organization and may include an athletic contest. For example, an event does not include a single store’s grand opening 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“Farmers market” </w:t>
      </w:r>
      <w:r>
        <w:rPr>
          <w:rFonts w:ascii="Times New Roman" w:hAnsi="Times New Roman"/>
          <w:b w:val="false"/>
          <w:i w:val="false"/>
          <w:color w:val="000000"/>
          <w:sz w:val="22"/>
        </w:rPr>
        <w:t xml:space="preserve">means a marketplace which operates seasonally, principally as a common market for Iowa-produced farm products on a retail basis for consumption elsewhere.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“Farmers market time/temperature control for safety food license” </w:t>
      </w:r>
      <w:r>
        <w:rPr>
          <w:rFonts w:ascii="Times New Roman" w:hAnsi="Times New Roman"/>
          <w:b w:val="false"/>
          <w:i w:val="false"/>
          <w:color w:val="000000"/>
          <w:sz w:val="22"/>
        </w:rPr>
        <w:t>means a license for a temporary food establishment that sells time/temperature control for safety foods at farmers markets. A separate annual farmers market time/temperature control for safety food license is required for each county in which the licensee sells time/temperature control for safety foods at farmers markets. The license is only applicable at farmers markets and is not required in order to sell wholesome, fresh shell eggs to consumer customers. “Farmers market time/temperature control for safety food license” does not include a temporary food establishment that sells packaged time/temperature control for safety food items from a licensed source at farmers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establishment” </w:t>
      </w:r>
      <w:r>
        <w:rPr>
          <w:rFonts w:ascii="Times New Roman" w:hAnsi="Times New Roman"/>
          <w:b w:val="false"/>
          <w:i w:val="false"/>
          <w:color w:val="000000"/>
          <w:sz w:val="22"/>
        </w:rPr>
        <w:t xml:space="preserve">means an operation that stores, prepares, packages, serves, vends or otherwise provides food for human consumption and includes a food service operation in a salvage or distressed food operation, nutrition program operated pursuant to Title III-C of the Older Americans Act, school, summer camp, residential service substance abuse treatment facility, halfway house substance abuse treatment facility, correctional facility operated by the department of corrections, or the state training school. Assisted living programs and adult day services are included in the definition of food establishment to the extent required by </w:t>
      </w:r>
      <w:hyperlink r:id="rId26">
        <w:r>
          <w:rPr>
            <w:rStyle w:val="Hyperlink"/>
            <w:rFonts w:ascii="Times New Roman" w:hAnsi="Times New Roman"/>
            <w:b w:val="false"/>
            <w:i w:val="false"/>
            <w:color w:val="000000"/>
            <w:sz w:val="22"/>
          </w:rPr>
          <w:t>481—subrules 69.28(6)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70.28(6)</w:t>
        </w:r>
      </w:hyperlink>
      <w:r>
        <w:rPr>
          <w:rFonts w:ascii="Times New Roman" w:hAnsi="Times New Roman"/>
          <w:b w:val="false"/>
          <w:i w:val="false"/>
          <w:color w:val="000000"/>
          <w:sz w:val="22"/>
        </w:rPr>
        <w:t>. “Food establishment” 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food processing plant.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establishment that offers only prepackaged foods that are not time/temperature control for safety foods.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produce stand or facility which sells only whole, uncut fresh fruits and vegetables.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Premises which are a home food processing establishment pursuant to Iowa Code chapter </w:t>
      </w:r>
      <w:hyperlink r:id="rId28">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Premises which operate as a farmers market if unpackaged time/temperature control for safety foods are not sold or distributed from the premises.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Premises of a residence in which food is produced pursuant to Iowa Code section 137F.20 as enacted by </w:t>
      </w:r>
      <w:r>
        <w:rPr>
          <w:rFonts w:ascii="Times New Roman" w:hAnsi="Times New Roman"/>
          <w:b w:val="false"/>
          <w:i w:val="false"/>
          <w:color w:val="000000"/>
          <w:sz w:val="22"/>
        </w:rPr>
        <w:t>2022 Iowa Acts, House File 2431</w:t>
      </w:r>
      <w:r>
        <w:rPr>
          <w:rFonts w:ascii="Times New Roman" w:hAnsi="Times New Roman"/>
          <w:b w:val="false"/>
          <w:i w:val="false"/>
          <w:color w:val="000000"/>
          <w:sz w:val="22"/>
        </w:rPr>
        <w:t>, section 10.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kitchen in a private home where food is prepared or stored for family consumption or in a bed and breakfast home.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private home or private party where a personal chef or hired cook is providing food preparation services to a client and the client’s nonpaying guests.</w:t>
      </w:r>
    </w:p>
    <w:p>
      <w:pPr>
        <w:spacing w:before="0" w:after="0"/>
        <w:ind w:left="120"/>
        <w:jc w:val="both"/>
      </w:pPr>
      <w:r>
        <w:rPr>
          <w:rFonts w:ascii="Times New Roman" w:hAnsi="Times New Roman"/>
          <w:b w:val="false"/>
          <w:i w:val="false"/>
          <w:color w:val="000000"/>
          <w:sz w:val="22"/>
        </w:rPr>
        <w:t>     9.   </w:t>
      </w:r>
    </w:p>
    <w:p>
      <w:pPr>
        <w:spacing w:before="0" w:after="0"/>
        <w:ind w:left="120"/>
        <w:jc w:val="both"/>
      </w:pPr>
      <w:r>
        <w:rPr>
          <w:rFonts w:ascii="Times New Roman" w:hAnsi="Times New Roman"/>
          <w:b w:val="false"/>
          <w:i w:val="false"/>
          <w:color w:val="000000"/>
          <w:sz w:val="22"/>
        </w:rPr>
        <w:t>A private home that receives catered or home-delivered food.</w:t>
      </w:r>
    </w:p>
    <w:p>
      <w:pPr>
        <w:spacing w:before="0" w:after="0"/>
        <w:ind w:left="120"/>
        <w:jc w:val="both"/>
      </w:pPr>
    </w:p>
    <w:p>
      <w:pPr>
        <w:spacing w:before="0" w:after="0"/>
        <w:ind w:left="120"/>
        <w:jc w:val="both"/>
      </w:pPr>
      <w:r>
        <w:rPr>
          <w:rFonts w:ascii="Times New Roman" w:hAnsi="Times New Roman"/>
          <w:b w:val="false"/>
          <w:i w:val="false"/>
          <w:color w:val="000000"/>
          <w:sz w:val="22"/>
        </w:rPr>
        <w:t>     10.   </w:t>
      </w:r>
    </w:p>
    <w:p>
      <w:pPr>
        <w:spacing w:before="0" w:after="0"/>
        <w:ind w:left="120"/>
        <w:jc w:val="both"/>
      </w:pPr>
      <w:r>
        <w:rPr>
          <w:rFonts w:ascii="Times New Roman" w:hAnsi="Times New Roman"/>
          <w:b w:val="false"/>
          <w:i w:val="false"/>
          <w:color w:val="000000"/>
          <w:sz w:val="22"/>
        </w:rPr>
        <w:t>Child day care facilities and other food establishments located in hospitals or health care facilities that serve only patients and staff and are subject to inspection by other state agencies or divisions of the department.</w:t>
      </w:r>
    </w:p>
    <w:p>
      <w:pPr>
        <w:spacing w:before="0" w:after="0"/>
        <w:ind w:left="120"/>
        <w:jc w:val="both"/>
      </w:pPr>
    </w:p>
    <w:p>
      <w:pPr>
        <w:spacing w:before="0" w:after="0"/>
        <w:ind w:left="120"/>
        <w:jc w:val="both"/>
      </w:pPr>
      <w:r>
        <w:rPr>
          <w:rFonts w:ascii="Times New Roman" w:hAnsi="Times New Roman"/>
          <w:b w:val="false"/>
          <w:i w:val="false"/>
          <w:color w:val="000000"/>
          <w:sz w:val="22"/>
        </w:rPr>
        <w:t>     11.   </w:t>
      </w:r>
    </w:p>
    <w:p>
      <w:pPr>
        <w:spacing w:before="0" w:after="0"/>
        <w:ind w:left="120"/>
        <w:jc w:val="both"/>
      </w:pPr>
      <w:r>
        <w:rPr>
          <w:rFonts w:ascii="Times New Roman" w:hAnsi="Times New Roman"/>
          <w:b w:val="false"/>
          <w:i w:val="false"/>
          <w:color w:val="000000"/>
          <w:sz w:val="22"/>
        </w:rPr>
        <w:t>Supply vehicles or vending machine locations.</w:t>
      </w:r>
    </w:p>
    <w:p>
      <w:pPr>
        <w:spacing w:before="0" w:after="0"/>
        <w:ind w:left="120"/>
        <w:jc w:val="both"/>
      </w:pPr>
    </w:p>
    <w:p>
      <w:pPr>
        <w:spacing w:before="0" w:after="0"/>
        <w:ind w:left="120"/>
        <w:jc w:val="both"/>
      </w:pPr>
      <w:r>
        <w:rPr>
          <w:rFonts w:ascii="Times New Roman" w:hAnsi="Times New Roman"/>
          <w:b w:val="false"/>
          <w:i w:val="false"/>
          <w:color w:val="000000"/>
          <w:sz w:val="22"/>
        </w:rPr>
        <w:t>     12.   </w:t>
      </w:r>
    </w:p>
    <w:p>
      <w:pPr>
        <w:spacing w:before="0" w:after="0"/>
        <w:ind w:left="120"/>
        <w:jc w:val="both"/>
      </w:pPr>
      <w:r>
        <w:rPr>
          <w:rFonts w:ascii="Times New Roman" w:hAnsi="Times New Roman"/>
          <w:b w:val="false"/>
          <w:i w:val="false"/>
          <w:color w:val="000000"/>
          <w:sz w:val="22"/>
        </w:rPr>
        <w:t xml:space="preserve">Establishments that are exclusively engaged in the processing of meat and poultry and are licensed pursuant to Iowa Code section </w:t>
      </w:r>
      <w:hyperlink r:id="rId29">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w:t>
      </w:r>
    </w:p>
    <w:p>
      <w:pPr>
        <w:spacing w:before="0" w:after="0"/>
        <w:ind w:left="120"/>
        <w:jc w:val="both"/>
      </w:pPr>
    </w:p>
    <w:p>
      <w:pPr>
        <w:spacing w:before="0" w:after="0"/>
        <w:ind w:left="120"/>
        <w:jc w:val="both"/>
      </w:pPr>
      <w:r>
        <w:rPr>
          <w:rFonts w:ascii="Times New Roman" w:hAnsi="Times New Roman"/>
          <w:b w:val="false"/>
          <w:i w:val="false"/>
          <w:color w:val="000000"/>
          <w:sz w:val="22"/>
        </w:rPr>
        <w:t>     13.   </w:t>
      </w:r>
    </w:p>
    <w:p>
      <w:pPr>
        <w:spacing w:before="0" w:after="0"/>
        <w:ind w:left="120"/>
        <w:jc w:val="both"/>
      </w:pPr>
      <w:r>
        <w:rPr>
          <w:rFonts w:ascii="Times New Roman" w:hAnsi="Times New Roman"/>
          <w:b w:val="false"/>
          <w:i w:val="false"/>
          <w:color w:val="000000"/>
          <w:sz w:val="22"/>
        </w:rPr>
        <w:t>The following premises, provided they are exclusively engaged in the sale of alcoholic beverages in a prepackaged form: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Premises of a beer manufacturer, distributor, or wholesaler under Iowa Code chapter </w:t>
      </w:r>
      <w:hyperlink r:id="rId3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Premises of a wine manufacturer, distributor, or wholesaler under Iowa Code chapter </w:t>
      </w:r>
      <w:hyperlink r:id="rId3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Premises of a manufacturer of distilled spirits under Iowa Code chapter </w:t>
      </w:r>
      <w:hyperlink r:id="rId32">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p>
    <w:p>
      <w:pPr>
        <w:spacing w:before="0" w:after="0"/>
        <w:ind w:left="120"/>
        <w:jc w:val="both"/>
      </w:pPr>
      <w:r>
        <w:rPr>
          <w:rFonts w:ascii="Times New Roman" w:hAnsi="Times New Roman"/>
          <w:b w:val="false"/>
          <w:i w:val="false"/>
          <w:color w:val="000000"/>
          <w:sz w:val="22"/>
        </w:rPr>
        <w:t>     14.   </w:t>
      </w:r>
    </w:p>
    <w:p>
      <w:pPr>
        <w:spacing w:before="0" w:after="0"/>
        <w:ind w:left="120"/>
        <w:jc w:val="both"/>
      </w:pPr>
      <w:r>
        <w:rPr>
          <w:rFonts w:ascii="Times New Roman" w:hAnsi="Times New Roman"/>
          <w:b w:val="false"/>
          <w:i w:val="false"/>
          <w:color w:val="000000"/>
          <w:sz w:val="22"/>
        </w:rPr>
        <w:t xml:space="preserve">Premises or operations that are exclusively engaged in the processing of milk and milk products, are regulated by Iowa Code sections </w:t>
      </w:r>
      <w:hyperlink r:id="rId33">
        <w:r>
          <w:rPr>
            <w:rStyle w:val="Hyperlink"/>
            <w:rFonts w:ascii="Times New Roman" w:hAnsi="Times New Roman"/>
            <w:b w:val="false"/>
            <w:i w:val="false"/>
            <w:color w:val="000000"/>
            <w:sz w:val="22"/>
          </w:rPr>
          <w:t>192.107</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194.1</w:t>
        </w:r>
      </w:hyperlink>
      <w:r>
        <w:rPr>
          <w:rFonts w:ascii="Times New Roman" w:hAnsi="Times New Roman"/>
          <w:b w:val="false"/>
          <w:i w:val="false"/>
          <w:color w:val="000000"/>
          <w:sz w:val="22"/>
        </w:rPr>
        <w:t>, and have a milk or milk products permit issued by the department of agriculture and land stewardship.</w:t>
      </w:r>
    </w:p>
    <w:p>
      <w:pPr>
        <w:spacing w:before="0" w:after="0"/>
        <w:ind w:left="120"/>
        <w:jc w:val="both"/>
      </w:pPr>
    </w:p>
    <w:p>
      <w:pPr>
        <w:spacing w:before="0" w:after="0"/>
        <w:ind w:left="120"/>
        <w:jc w:val="both"/>
      </w:pPr>
      <w:r>
        <w:rPr>
          <w:rFonts w:ascii="Times New Roman" w:hAnsi="Times New Roman"/>
          <w:b w:val="false"/>
          <w:i w:val="false"/>
          <w:color w:val="000000"/>
          <w:sz w:val="22"/>
        </w:rPr>
        <w:t>     15.   </w:t>
      </w:r>
    </w:p>
    <w:p>
      <w:pPr>
        <w:spacing w:before="0" w:after="0"/>
        <w:ind w:left="120"/>
        <w:jc w:val="both"/>
      </w:pPr>
      <w:r>
        <w:rPr>
          <w:rFonts w:ascii="Times New Roman" w:hAnsi="Times New Roman"/>
          <w:b w:val="false"/>
          <w:i w:val="false"/>
          <w:color w:val="000000"/>
          <w:sz w:val="22"/>
        </w:rPr>
        <w:t xml:space="preserve">Premises or operations that are exclusively engaged in the production of shell eggs, are regulated by Iowa Code section </w:t>
      </w:r>
      <w:hyperlink r:id="rId35">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and have an egg handler’s license.</w:t>
      </w:r>
    </w:p>
    <w:p>
      <w:pPr>
        <w:spacing w:before="0" w:after="0"/>
        <w:ind w:left="120"/>
        <w:jc w:val="both"/>
      </w:pPr>
    </w:p>
    <w:p>
      <w:pPr>
        <w:spacing w:before="0" w:after="0"/>
        <w:ind w:left="120"/>
        <w:jc w:val="both"/>
      </w:pPr>
      <w:r>
        <w:rPr>
          <w:rFonts w:ascii="Times New Roman" w:hAnsi="Times New Roman"/>
          <w:b w:val="false"/>
          <w:i w:val="false"/>
          <w:color w:val="000000"/>
          <w:sz w:val="22"/>
        </w:rPr>
        <w:t>     16.   </w:t>
      </w:r>
    </w:p>
    <w:p>
      <w:pPr>
        <w:spacing w:before="0" w:after="0"/>
        <w:ind w:left="120"/>
        <w:jc w:val="both"/>
      </w:pPr>
      <w:r>
        <w:rPr>
          <w:rFonts w:ascii="Times New Roman" w:hAnsi="Times New Roman"/>
          <w:b w:val="false"/>
          <w:i w:val="false"/>
          <w:color w:val="000000"/>
          <w:sz w:val="22"/>
        </w:rPr>
        <w:t>The premises of a residence in which honey is stored; prepared; packaged, including by placement in a container; or labeled or from which honey is distributed.</w:t>
      </w:r>
    </w:p>
    <w:p>
      <w:pPr>
        <w:spacing w:before="0" w:after="0"/>
        <w:ind w:left="120"/>
        <w:jc w:val="both"/>
      </w:pPr>
    </w:p>
    <w:p>
      <w:pPr>
        <w:spacing w:before="0" w:after="0"/>
        <w:ind w:left="120"/>
        <w:jc w:val="both"/>
      </w:pPr>
      <w:r>
        <w:rPr>
          <w:rFonts w:ascii="Times New Roman" w:hAnsi="Times New Roman"/>
          <w:b w:val="false"/>
          <w:i w:val="false"/>
          <w:color w:val="000000"/>
          <w:sz w:val="22"/>
        </w:rPr>
        <w:t>     17.   </w:t>
      </w:r>
    </w:p>
    <w:p>
      <w:pPr>
        <w:spacing w:before="0" w:after="0"/>
        <w:ind w:left="120"/>
        <w:jc w:val="both"/>
      </w:pPr>
      <w:r>
        <w:rPr>
          <w:rFonts w:ascii="Times New Roman" w:hAnsi="Times New Roman"/>
          <w:b w:val="false"/>
          <w:i w:val="false"/>
          <w:color w:val="000000"/>
          <w:sz w:val="22"/>
        </w:rPr>
        <w:t>Premises regularly used by a nonprofit organization which engages in the serving of food on the premises as long as the nonprofit organization does not exceed the following restrictions: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nonprofit organization serves food no more than one day per calendar week and not on two or more consecutive days;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Twice per year, the nonprofit organization may serve food to the public for up to three consecutive days;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nonprofit organization may use the premises of another nonprofit organization not more than twice per year for one day to serve food.</w:t>
      </w:r>
    </w:p>
    <w:p>
      <w:pPr>
        <w:spacing w:before="0" w:after="0"/>
        <w:ind w:left="120"/>
        <w:jc w:val="both"/>
      </w:pP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A stand operated by a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processing plant” </w:t>
      </w:r>
      <w:r>
        <w:rPr>
          <w:rFonts w:ascii="Times New Roman" w:hAnsi="Times New Roman"/>
          <w:b w:val="false"/>
          <w:i w:val="false"/>
          <w:color w:val="000000"/>
          <w:sz w:val="22"/>
        </w:rPr>
        <w:t>means a commercial operation that manufactures, packages, labels or stores food for human consumption and does not provide food directly to a consumer. “Food processing plant”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following premises, provided they are exclusively engaged in the sale of alcoholic beverages in a prepackaged form: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Premises of a beer manufacturer, distributor, or wholesaler under Iowa Code chapter </w:t>
      </w:r>
      <w:hyperlink r:id="rId3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Premises of a beer manufacturer, distributor, or wholesaler under Iowa Code chapter </w:t>
      </w:r>
      <w:hyperlink r:id="rId3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Premises of a manufacturer of distilled spirits under Iowa Code chapter </w:t>
      </w:r>
      <w:hyperlink r:id="rId3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premises of a residence in which honey is stored; prepared; packaged, including by placement in a container; or labeled or from which honey is distributed.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 Premises or operations that are exclusively engaged in the processing of meat and poultry and are licensed pursuant to Iowa Code section </w:t>
      </w:r>
      <w:hyperlink r:id="rId39">
        <w:r>
          <w:rPr>
            <w:rStyle w:val="Hyperlink"/>
            <w:rFonts w:ascii="Times New Roman" w:hAnsi="Times New Roman"/>
            <w:b w:val="false"/>
            <w:i w:val="false"/>
            <w:color w:val="000000"/>
            <w:sz w:val="22"/>
          </w:rPr>
          <w:t>189A.3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 Premises or operations that are exclusively engaged in the processing of milk or milk products, are regulated by Iowa Code sections </w:t>
      </w:r>
      <w:hyperlink r:id="rId40">
        <w:r>
          <w:rPr>
            <w:rStyle w:val="Hyperlink"/>
            <w:rFonts w:ascii="Times New Roman" w:hAnsi="Times New Roman"/>
            <w:b w:val="false"/>
            <w:i w:val="false"/>
            <w:color w:val="000000"/>
            <w:sz w:val="22"/>
          </w:rPr>
          <w:t>192.107</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194.1</w:t>
        </w:r>
      </w:hyperlink>
      <w:r>
        <w:rPr>
          <w:rFonts w:ascii="Times New Roman" w:hAnsi="Times New Roman"/>
          <w:b w:val="false"/>
          <w:i w:val="false"/>
          <w:color w:val="000000"/>
          <w:sz w:val="22"/>
        </w:rPr>
        <w:t>, and have a milk or milk products permit issued by the department of agriculture and land stewardship.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 Premises or operations that are exclusively engaged in the production of shell eggs, are regulated by Iowa Code section </w:t>
      </w:r>
      <w:hyperlink r:id="rId42">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and have an egg handler’s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Premises or operations that are exclusively engaged in the preparation or processing of Siluriformes, including catfish, and are regulated and inspected by the United States Department of Agriculture under a federal grant of inspection.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Premises that are a home food processing establishment pursuant to Iowa Code chapter </w:t>
      </w:r>
      <w:hyperlink r:id="rId43">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service establishment” </w:t>
      </w:r>
      <w:r>
        <w:rPr>
          <w:rFonts w:ascii="Times New Roman" w:hAnsi="Times New Roman"/>
          <w:b w:val="false"/>
          <w:i w:val="false"/>
          <w:color w:val="000000"/>
          <w:sz w:val="22"/>
        </w:rPr>
        <w:t xml:space="preserve">means a food establishment where food is prepared or served for individual portion service intended for consumption on the premises or is subject to Iowa sales tax as provided in Iowa Code section </w:t>
      </w:r>
      <w:hyperlink r:id="rId44">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“Hotel” </w:t>
      </w:r>
      <w:r>
        <w:rPr>
          <w:rFonts w:ascii="Times New Roman" w:hAnsi="Times New Roman"/>
          <w:b w:val="false"/>
          <w:i w:val="false"/>
          <w:color w:val="000000"/>
          <w:sz w:val="22"/>
        </w:rPr>
        <w:t xml:space="preserve">means the same as defined in Iowa Code section </w:t>
      </w:r>
      <w:hyperlink r:id="rId45">
        <w:r>
          <w:rPr>
            <w:rStyle w:val="Hyperlink"/>
            <w:rFonts w:ascii="Times New Roman" w:hAnsi="Times New Roman"/>
            <w:b w:val="false"/>
            <w:i w:val="false"/>
            <w:color w:val="000000"/>
            <w:sz w:val="22"/>
          </w:rPr>
          <w:t>137C.2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holder” </w:t>
      </w:r>
      <w:r>
        <w:rPr>
          <w:rFonts w:ascii="Times New Roman" w:hAnsi="Times New Roman"/>
          <w:b w:val="false"/>
          <w:i w:val="false"/>
          <w:color w:val="000000"/>
          <w:sz w:val="22"/>
        </w:rPr>
        <w:t xml:space="preserve">means an individual, corporation, partnership, governmental unit, association or any other entity to whom a license was issued under Iowa Code chapter </w:t>
      </w:r>
      <w:hyperlink r:id="rId46">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food unit” </w:t>
      </w:r>
      <w:r>
        <w:rPr>
          <w:rFonts w:ascii="Times New Roman" w:hAnsi="Times New Roman"/>
          <w:b w:val="false"/>
          <w:i w:val="false"/>
          <w:color w:val="000000"/>
          <w:sz w:val="22"/>
        </w:rPr>
        <w:t>means a food establishment that is self-contained, with the exception of grills and smokers, and readily movable, which either operates up to three consecutive days at one location or returns to a home base of operation at the end of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“Patrol dog” </w:t>
      </w:r>
      <w:r>
        <w:rPr>
          <w:rFonts w:ascii="Times New Roman" w:hAnsi="Times New Roman"/>
          <w:b w:val="false"/>
          <w:i w:val="false"/>
          <w:color w:val="000000"/>
          <w:sz w:val="22"/>
        </w:rPr>
        <w:t>means a dog that is accompanying a law enforcement officer or security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chef”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“hired cook” </w:t>
      </w:r>
      <w:r>
        <w:rPr>
          <w:rFonts w:ascii="Times New Roman" w:hAnsi="Times New Roman"/>
          <w:b w:val="false"/>
          <w:i w:val="false"/>
          <w:color w:val="000000"/>
          <w:sz w:val="22"/>
        </w:rPr>
        <w:t>means a person who provides food preparation services in a private home or at a private party for a client and the client’s nonpaying guests. “Personal chef” or “hired cook” does not include a person who provides the ingredients intended to be used in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 dog” </w:t>
      </w:r>
      <w:r>
        <w:rPr>
          <w:rFonts w:ascii="Times New Roman" w:hAnsi="Times New Roman"/>
          <w:b w:val="false"/>
          <w:i w:val="false"/>
          <w:color w:val="000000"/>
          <w:sz w:val="22"/>
        </w:rPr>
        <w:t>means a dog that does not meet the definition of a “patrol dog” or a “service animal” as defined in the Code of Federal Regulations, Title 28, Part 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“Pushcart” </w:t>
      </w:r>
      <w:r>
        <w:rPr>
          <w:rFonts w:ascii="Times New Roman" w:hAnsi="Times New Roman"/>
          <w:b w:val="false"/>
          <w:i w:val="false"/>
          <w:color w:val="000000"/>
          <w:sz w:val="22"/>
        </w:rPr>
        <w:t>means a non-self-propelled vehicle food establishment limited to serving foods that are not time/temperature control for safety foods or commissary-wrapped foods maintained at proper temperatures or precooked foods that require limited assembly, such as frankfurters.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food establishment” </w:t>
      </w:r>
      <w:r>
        <w:rPr>
          <w:rFonts w:ascii="Times New Roman" w:hAnsi="Times New Roman"/>
          <w:b w:val="false"/>
          <w:i w:val="false"/>
          <w:color w:val="000000"/>
          <w:sz w:val="22"/>
        </w:rPr>
        <w:t>means a food establishment that sells to consumer customers food or food products intended for preparation or consumption off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“Revoke” </w:t>
      </w:r>
      <w:r>
        <w:rPr>
          <w:rFonts w:ascii="Times New Roman" w:hAnsi="Times New Roman"/>
          <w:b w:val="false"/>
          <w:i w:val="false"/>
          <w:color w:val="000000"/>
          <w:sz w:val="22"/>
        </w:rPr>
        <w:t xml:space="preserve">means to void or annul by recalling or withdrawing a license issued under Iowa Code chapter </w:t>
      </w:r>
      <w:hyperlink r:id="rId48">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or </w:t>
      </w:r>
      <w:hyperlink r:id="rId4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entire application process, including the payment of applicable license fees, must be repeated to regain a valid license following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 operated by a minor” </w:t>
      </w:r>
      <w:r>
        <w:rPr>
          <w:rFonts w:ascii="Times New Roman" w:hAnsi="Times New Roman"/>
          <w:b w:val="false"/>
          <w:i w:val="false"/>
          <w:color w:val="000000"/>
          <w:sz w:val="22"/>
        </w:rPr>
        <w:t>means a stand or other facility operated by a person or persons under the age of 18 at which food is sold directly to consumers that is not time/temperature control for safety food or an alcoholic beverage and that operates on a temporary and occasional basis on private property with the permission of the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“Suspend” </w:t>
      </w:r>
      <w:r>
        <w:rPr>
          <w:rFonts w:ascii="Times New Roman" w:hAnsi="Times New Roman"/>
          <w:b w:val="false"/>
          <w:i w:val="false"/>
          <w:color w:val="000000"/>
          <w:sz w:val="22"/>
        </w:rPr>
        <w:t xml:space="preserve">means to render a license issued under Iowa Code chapter </w:t>
      </w:r>
      <w:hyperlink r:id="rId50">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or </w:t>
      </w:r>
      <w:hyperlink r:id="rId51">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invalid for a period of time, with the intent of resuming the validity of a license at the end of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food establishment” </w:t>
      </w:r>
      <w:r>
        <w:rPr>
          <w:rFonts w:ascii="Times New Roman" w:hAnsi="Times New Roman"/>
          <w:b w:val="false"/>
          <w:i w:val="false"/>
          <w:color w:val="000000"/>
          <w:sz w:val="22"/>
        </w:rPr>
        <w:t xml:space="preserve">means a food establishment that operates for a period of no more than 14 consecutive days in conjunction with a single event.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“Time/temperature control for safety food” </w:t>
      </w:r>
      <w:r>
        <w:rPr>
          <w:rFonts w:ascii="Times New Roman" w:hAnsi="Times New Roman"/>
          <w:b w:val="false"/>
          <w:i w:val="false"/>
          <w:color w:val="000000"/>
          <w:sz w:val="22"/>
        </w:rPr>
        <w:t>means a food that requires time and temperature controls for safety to limit pathogenic microorganism growth or toxin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“Transient guest” </w:t>
      </w:r>
      <w:r>
        <w:rPr>
          <w:rFonts w:ascii="Times New Roman" w:hAnsi="Times New Roman"/>
          <w:b w:val="false"/>
          <w:i w:val="false"/>
          <w:color w:val="000000"/>
          <w:sz w:val="22"/>
        </w:rPr>
        <w:t>means an overnight lodging guest who does not intend to stay for any permanent length of time. Any guest who rents a room for more than 31 consecutive days is not classified as a transient guest.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 </w:t>
      </w:r>
      <w:r>
        <w:rPr>
          <w:rFonts w:ascii="Times New Roman" w:hAnsi="Times New Roman"/>
          <w:b w:val="false"/>
          <w:i w:val="false"/>
          <w:color w:val="000000"/>
          <w:sz w:val="22"/>
        </w:rPr>
        <w:t>means an operation that provides packaged foods or whole fruit using an automated payment system and has controlled entry not accessible by the general public. “Controlled entry,” for the purposes of the definition of “unattended food establishment,” means selective restriction or limitation of access to a place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machine” </w:t>
      </w:r>
      <w:r>
        <w:rPr>
          <w:rFonts w:ascii="Times New Roman" w:hAnsi="Times New Roman"/>
          <w:b w:val="false"/>
          <w:i w:val="false"/>
          <w:color w:val="000000"/>
          <w:sz w:val="22"/>
        </w:rPr>
        <w:t>means a self-service device which, upon insertion of a coin, paper currency, token, card or key, or by optional manual operation, dispenses unit servings of food in bulk or in packages without the necessity of replenishing the device between each vending operation. Vending machines that dispense only prepackaged foods that are not time/temperature control for safety foods, panned candies, gumballs or nuts are exempt from licensing but may be inspected by the department upon receipt of a written complaint. “Panned candies” are those with a fine, hard coating on the outside and a soft candy filling on the inside. Panned candies are easily dispensed by a gumball-type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machine location” </w:t>
      </w:r>
      <w:r>
        <w:rPr>
          <w:rFonts w:ascii="Times New Roman" w:hAnsi="Times New Roman"/>
          <w:b w:val="false"/>
          <w:i w:val="false"/>
          <w:color w:val="000000"/>
          <w:sz w:val="22"/>
        </w:rPr>
        <w:t>means the room, enclosure, space, or area where one or more vending machines are installed and operated, including the storage areas on the premises that are used to service and maintain the vending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“Wild-harvested mushroom” </w:t>
      </w:r>
      <w:r>
        <w:rPr>
          <w:rFonts w:ascii="Times New Roman" w:hAnsi="Times New Roman"/>
          <w:b w:val="false"/>
          <w:i w:val="false"/>
          <w:color w:val="000000"/>
          <w:sz w:val="22"/>
        </w:rPr>
        <w:t>means a fresh mushroom that has been found or foraged in the natural environment and has not been processed (e.g., dried or frozen). “Wild-harvested mushroom” does not include cultivated mushrooms or mushrooms that have been packaged in an approved food processing plant.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137C.8</w:t>
        </w:r>
      </w:hyperlink>
      <w:r>
        <w:rPr>
          <w:rFonts w:ascii="Times New Roman" w:hAnsi="Times New Roman"/>
          <w:b w:val="false"/>
          <w:i w:val="false"/>
          <w:color w:val="000000"/>
          <w:sz w:val="22"/>
        </w:rPr>
        <w:t xml:space="preserve"> and chapter </w:t>
      </w:r>
      <w:hyperlink r:id="rId5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3187C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4139C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4731C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5119C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w:t>
      </w:r>
      <w:r>
        <w:rPr>
          <w:rFonts w:ascii="Times New Roman" w:hAnsi="Times New Roman"/>
          <w:b/>
          <w:i w:val="false"/>
          <w:color w:val="000000"/>
          <w:sz w:val="16"/>
        </w:rPr>
        <w:t>ARC 5353C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5354C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5843C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5845C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6859C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481—30.3</w:t>
      </w:r>
      <w:r>
        <w:rPr>
          <w:rFonts w:ascii="Times New Roman" w:hAnsi="Times New Roman"/>
          <w:b/>
          <w:i w:val="false"/>
          <w:color w:val="000000"/>
          <w:sz w:val="22"/>
        </w:rPr>
        <w:t xml:space="preserve">(137C,137F) </w:t>
      </w:r>
      <w:r>
        <w:rPr>
          <w:rFonts w:ascii="Times New Roman" w:hAnsi="Times New Roman"/>
          <w:b/>
          <w:i w:val="false"/>
          <w:color w:val="000000"/>
          <w:sz w:val="22"/>
        </w:rPr>
        <w:t xml:space="preserve">Licensing and postings. </w:t>
      </w:r>
      <w:r>
        <w:rPr>
          <w:rFonts w:ascii="Times New Roman" w:hAnsi="Times New Roman"/>
          <w:b w:val="false"/>
          <w:i w:val="false"/>
          <w:color w:val="000000"/>
          <w:sz w:val="22"/>
        </w:rPr>
        <w:t xml:space="preserve">A license to operate any food establishment or food processing plant defined in rule </w:t>
      </w:r>
      <w:hyperlink r:id="rId55">
        <w:r>
          <w:rPr>
            <w:rStyle w:val="Hyperlink"/>
            <w:rFonts w:ascii="Times New Roman" w:hAnsi="Times New Roman"/>
            <w:b w:val="false"/>
            <w:i w:val="false"/>
            <w:color w:val="000000"/>
            <w:sz w:val="22"/>
          </w:rPr>
          <w:t>481—30.2</w:t>
        </w:r>
      </w:hyperlink>
      <w:r>
        <w:rPr>
          <w:rFonts w:ascii="Times New Roman" w:hAnsi="Times New Roman"/>
          <w:b w:val="false"/>
          <w:i w:val="false"/>
          <w:color w:val="000000"/>
          <w:sz w:val="22"/>
        </w:rPr>
        <w:t xml:space="preserve">(10A,137C,137F) must be granted by the department of inspections and appeals. Application for a license is made on a form furnished by the department which contains the names of the business, owner, and manager; locations of buildings; and other data relative to the license requested. Applications are available from the Department of Inspections and Appeals, Food and Consumer Safety Bureau, Lucas State Office Building, Des Moines, Iowa 50319-0083, or from contractors. An application for licensure shall be submitted 30 days in advance of the opening of the food establishment or food processing plant. Temporary food establishment license applications shall be submitted a minimum of 3 business days prior to opening.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 xml:space="preserve">A license is not transferable to a new owner or location. Any change in business ownership or business location requires a new license. Vending machines, mobile food units and pushcarts may be moved without obtaining a new license. A farmers market time/temperature control for safety food license may be used in the same county at different individual locations without obtaining a new license. However, if the different individual locations are operated simultaneously, a separate license is required for each location. Nutrition sites for the elderly licensed under Iowa Code chapter </w:t>
      </w:r>
      <w:hyperlink r:id="rId56">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may change locations in the same city without obtaining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License fees are refundable only if the license is surrendered to the department prior to the effective date of the license and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fees of $67.50 or less are an application processing fee and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on-site visit has not occurred, license fees of more than $67.50 will be refunded less the $67.50.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on-site visit has occurred, the entire license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w:t>
      </w:r>
      <w:r>
        <w:rPr>
          <w:rFonts w:ascii="Times New Roman" w:hAnsi="Times New Roman"/>
          <w:b w:val="false"/>
          <w:i w:val="false"/>
          <w:color w:val="000000"/>
          <w:sz w:val="22"/>
        </w:rPr>
        <w:t> </w:t>
      </w:r>
      <w:r>
        <w:rPr>
          <w:rFonts w:ascii="Times New Roman" w:hAnsi="Times New Roman"/>
          <w:b w:val="false"/>
          <w:i/>
          <w:color w:val="000000"/>
          <w:sz w:val="22"/>
        </w:rPr>
        <w:t xml:space="preserve">License expiration. </w:t>
      </w:r>
      <w:r>
        <w:rPr>
          <w:rFonts w:ascii="Times New Roman" w:hAnsi="Times New Roman"/>
          <w:b w:val="false"/>
          <w:i w:val="false"/>
          <w:color w:val="000000"/>
          <w:sz w:val="22"/>
        </w:rPr>
        <w:t>A license is renewable and expires after one year, with the exception of a temporary food establishment license issued in conjunction with a single event at a specific location, which is valid for a period not to exceed 14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w:t>
      </w:r>
      <w:r>
        <w:rPr>
          <w:rFonts w:ascii="Times New Roman" w:hAnsi="Times New Roman"/>
          <w:b w:val="false"/>
          <w:i w:val="false"/>
          <w:color w:val="000000"/>
          <w:sz w:val="22"/>
        </w:rPr>
        <w:t> </w:t>
      </w:r>
      <w:r>
        <w:rPr>
          <w:rFonts w:ascii="Times New Roman" w:hAnsi="Times New Roman"/>
          <w:b w:val="false"/>
          <w:i/>
          <w:color w:val="000000"/>
          <w:sz w:val="22"/>
        </w:rPr>
        <w:t xml:space="preserve">Posting of inspection reports, licenses, and registration tags. </w:t>
      </w:r>
      <w:r>
        <w:rPr>
          <w:rFonts w:ascii="Times New Roman" w:hAnsi="Times New Roman"/>
          <w:b w:val="false"/>
          <w:i w:val="false"/>
          <w:color w:val="000000"/>
          <w:sz w:val="22"/>
        </w:rPr>
        <w:t>A valid license and the most recent inspection report, along with any current complaint or reinspection reports, shall be posted no higher than eye level where the public can see them. The report shall not be posted in such a manner that the public cannot reasonably read the report. For example, the posting of a report behind a service area where the report can be seen but not easily read is not allowed. Vending machines shall bear a tag to affirm the license. For the purpose of this subrule, only founded complaint reports shall be considered complaints. Founded complaints shall be posted until either the mail-in recheck form has been submitted to the regulatory authority or a recheck inspection has been conducted to verify that the violations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gross sales. </w:t>
      </w:r>
      <w:r>
        <w:rPr>
          <w:rFonts w:ascii="Times New Roman" w:hAnsi="Times New Roman"/>
          <w:b w:val="false"/>
          <w:i w:val="false"/>
          <w:color w:val="000000"/>
          <w:sz w:val="22"/>
        </w:rPr>
        <w:t xml:space="preserve">The regulatory authority shall require from a license holder documentation of the annual gross sales of food and drink sold by a licensed food establishment or a licensed food processing plant unless the establishment is paying the highest license fee required by rule </w:t>
      </w:r>
      <w:hyperlink r:id="rId57">
        <w:r>
          <w:rPr>
            <w:rStyle w:val="Hyperlink"/>
            <w:rFonts w:ascii="Times New Roman" w:hAnsi="Times New Roman"/>
            <w:b w:val="false"/>
            <w:i w:val="false"/>
            <w:color w:val="000000"/>
            <w:sz w:val="22"/>
          </w:rPr>
          <w:t>481—30.4</w:t>
        </w:r>
      </w:hyperlink>
      <w:r>
        <w:rPr>
          <w:rFonts w:ascii="Times New Roman" w:hAnsi="Times New Roman"/>
          <w:b w:val="false"/>
          <w:i w:val="false"/>
          <w:color w:val="000000"/>
          <w:sz w:val="22"/>
        </w:rPr>
        <w:t>(137C,137F). The documentation submitted by the license holder will be kept confidential and will be used to verify that the license holder is paying the appropriate license fee based on annual gross sales of food and drink. For food processing plants that are food storage facilities and food establishments whose sales are included in a single rate with lodging or other services, the value of the food handled should be used. Documentation shall include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firm’s business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Quarterly sales tax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from an independent tax preparer;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appropriate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30.3(6)</w:t>
      </w:r>
      <w:r>
        <w:rPr>
          <w:rFonts w:ascii="Times New Roman" w:hAnsi="Times New Roman"/>
          <w:b w:val="false"/>
          <w:i w:val="false"/>
          <w:color w:val="000000"/>
          <w:sz w:val="22"/>
        </w:rPr>
        <w:t> </w:t>
      </w:r>
      <w:r>
        <w:rPr>
          <w:rFonts w:ascii="Times New Roman" w:hAnsi="Times New Roman"/>
          <w:b w:val="false"/>
          <w:i/>
          <w:color w:val="000000"/>
          <w:sz w:val="22"/>
        </w:rPr>
        <w:t xml:space="preserve">License eligibility for renewal limited to 60 days after expiration. </w:t>
      </w:r>
      <w:r>
        <w:rPr>
          <w:rFonts w:ascii="Times New Roman" w:hAnsi="Times New Roman"/>
          <w:b w:val="false"/>
          <w:i w:val="false"/>
          <w:color w:val="000000"/>
          <w:sz w:val="22"/>
        </w:rPr>
        <w:t>A delinquent license shall only be renewed if application for renewal is made within 60 days of expiration of the license. If a delinquent license is not renewed within 60 days, an establishment must apply for a new license and meet all the requirements for licensure. Establishments that have not renewed the license within 60 days of the expiration of the license shall be closed by the department or a contractor. The establishment shall not be reopened until a new license application has been submitted and approved.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137C.8</w:t>
        </w:r>
      </w:hyperlink>
      <w:r>
        <w:rPr>
          <w:rFonts w:ascii="Times New Roman" w:hAnsi="Times New Roman"/>
          <w:b w:val="false"/>
          <w:i w:val="false"/>
          <w:color w:val="000000"/>
          <w:sz w:val="22"/>
        </w:rPr>
        <w:t xml:space="preserve"> and chapter </w:t>
      </w:r>
      <w:hyperlink r:id="rId60">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4139C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481—30.4</w:t>
      </w:r>
      <w:r>
        <w:rPr>
          <w:rFonts w:ascii="Times New Roman" w:hAnsi="Times New Roman"/>
          <w:b/>
          <w:i w:val="false"/>
          <w:color w:val="000000"/>
          <w:sz w:val="22"/>
        </w:rPr>
        <w:t xml:space="preserve">(137C,137F) </w:t>
      </w:r>
      <w:r>
        <w:rPr>
          <w:rFonts w:ascii="Times New Roman" w:hAnsi="Times New Roman"/>
          <w:b/>
          <w:i w:val="false"/>
          <w:color w:val="000000"/>
          <w:sz w:val="22"/>
        </w:rPr>
        <w:t xml:space="preserve">License fees. </w:t>
      </w:r>
      <w:r>
        <w:rPr>
          <w:rFonts w:ascii="Times New Roman" w:hAnsi="Times New Roman"/>
          <w:b w:val="false"/>
          <w:i w:val="false"/>
          <w:color w:val="000000"/>
          <w:sz w:val="22"/>
        </w:rPr>
        <w:t>The license fee is the same for an initial license and a renewal license. License applications are available from the Department of Inspections and Appeals, Food and Consumer Safety Bureau, Lucas State Office Building, Des Moines, Iowa 50319-0083, or from a contractor. License fees are set by the Iowa Code sections listed below and are charged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color w:val="000000"/>
          <w:sz w:val="22"/>
        </w:rPr>
        <w:t xml:space="preserve">Retail food establishments. </w:t>
      </w:r>
      <w:r>
        <w:rPr>
          <w:rFonts w:ascii="Times New Roman" w:hAnsi="Times New Roman"/>
          <w:b w:val="false"/>
          <w:i w:val="false"/>
          <w:color w:val="000000"/>
          <w:sz w:val="22"/>
        </w:rPr>
        <w:t xml:space="preserve">License fees for retail food establishments are based on annual gross sales of food or food products to consumer customers and intended for preparation or consumption off the premises (Iowa Code section </w:t>
      </w:r>
      <w:hyperlink r:id="rId61">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annual gross sales of less than $250,000—$150.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annual gross sales of $250,000 to $750,000—$300.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annual gross sales of more than $750,000—$400.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color w:val="000000"/>
          <w:sz w:val="22"/>
        </w:rPr>
        <w:t xml:space="preserve">Food service establishments. </w:t>
      </w:r>
      <w:r>
        <w:rPr>
          <w:rFonts w:ascii="Times New Roman" w:hAnsi="Times New Roman"/>
          <w:b w:val="false"/>
          <w:i w:val="false"/>
          <w:color w:val="000000"/>
          <w:sz w:val="22"/>
        </w:rPr>
        <w:t xml:space="preserve">License fees for food service establishments are based on annual gross sales of food and drink for individual portion service intended for consumption on the premises (Iowa Code section </w:t>
      </w:r>
      <w:hyperlink r:id="rId62">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 xml:space="preserve">) or subject to Iowa sales tax as provided in Iowa Code section </w:t>
      </w:r>
      <w:hyperlink r:id="rId63">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annual gross sales of less than $100,000—$150.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annual gross sales of $100,000 to $500,000—$300.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annual gross sales of more than $500,000—$400.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color w:val="000000"/>
          <w:sz w:val="22"/>
        </w:rPr>
        <w:t xml:space="preserve">Vending machines. </w:t>
      </w:r>
      <w:r>
        <w:rPr>
          <w:rFonts w:ascii="Times New Roman" w:hAnsi="Times New Roman"/>
          <w:b w:val="false"/>
          <w:i w:val="false"/>
          <w:color w:val="000000"/>
          <w:sz w:val="22"/>
        </w:rPr>
        <w:t xml:space="preserve">License fees for food and beverage vending machines are $50 for the first machine and $10 for each additional machine (Iowa Code section </w:t>
      </w:r>
      <w:hyperlink r:id="rId64">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w:t>
      </w:r>
      <w:r>
        <w:rPr>
          <w:rFonts w:ascii="Times New Roman" w:hAnsi="Times New Roman"/>
          <w:b w:val="false"/>
          <w:i w:val="false"/>
          <w:color w:val="000000"/>
          <w:sz w:val="22"/>
        </w:rPr>
        <w:t> </w:t>
      </w:r>
      <w:r>
        <w:rPr>
          <w:rFonts w:ascii="Times New Roman" w:hAnsi="Times New Roman"/>
          <w:b w:val="false"/>
          <w:i/>
          <w:color w:val="000000"/>
          <w:sz w:val="22"/>
        </w:rPr>
        <w:t xml:space="preserve">Hotels. </w:t>
      </w:r>
      <w:r>
        <w:rPr>
          <w:rFonts w:ascii="Times New Roman" w:hAnsi="Times New Roman"/>
          <w:b w:val="false"/>
          <w:i w:val="false"/>
          <w:color w:val="000000"/>
          <w:sz w:val="22"/>
        </w:rPr>
        <w:t xml:space="preserve">License fees for hotels shall be as set forth in Iowa Code section </w:t>
      </w:r>
      <w:hyperlink r:id="rId65">
        <w:r>
          <w:rPr>
            <w:rStyle w:val="Hyperlink"/>
            <w:rFonts w:ascii="Times New Roman" w:hAnsi="Times New Roman"/>
            <w:b w:val="false"/>
            <w:i w:val="false"/>
            <w:color w:val="000000"/>
            <w:sz w:val="22"/>
          </w:rPr>
          <w:t>137C.9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w:t>
      </w:r>
      <w:r>
        <w:rPr>
          <w:rFonts w:ascii="Times New Roman" w:hAnsi="Times New Roman"/>
          <w:b w:val="false"/>
          <w:i w:val="false"/>
          <w:color w:val="000000"/>
          <w:sz w:val="22"/>
        </w:rPr>
        <w:t> </w:t>
      </w:r>
      <w:r>
        <w:rPr>
          <w:rFonts w:ascii="Times New Roman" w:hAnsi="Times New Roman"/>
          <w:b w:val="false"/>
          <w:i/>
          <w:color w:val="000000"/>
          <w:sz w:val="22"/>
        </w:rPr>
        <w:t xml:space="preserve">Mobile food units or pushcarts. </w:t>
      </w:r>
      <w:r>
        <w:rPr>
          <w:rFonts w:ascii="Times New Roman" w:hAnsi="Times New Roman"/>
          <w:b w:val="false"/>
          <w:i w:val="false"/>
          <w:color w:val="000000"/>
          <w:sz w:val="22"/>
        </w:rPr>
        <w:t xml:space="preserve">The license fee for a mobile food unit or a pushcart is $250 (Iowa Code section </w:t>
      </w:r>
      <w:hyperlink r:id="rId66">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w:t>
      </w:r>
      <w:r>
        <w:rPr>
          <w:rFonts w:ascii="Times New Roman" w:hAnsi="Times New Roman"/>
          <w:b w:val="false"/>
          <w:i w:val="false"/>
          <w:color w:val="000000"/>
          <w:sz w:val="22"/>
        </w:rPr>
        <w:t> </w:t>
      </w:r>
      <w:r>
        <w:rPr>
          <w:rFonts w:ascii="Times New Roman" w:hAnsi="Times New Roman"/>
          <w:b w:val="false"/>
          <w:i/>
          <w:color w:val="000000"/>
          <w:sz w:val="22"/>
        </w:rPr>
        <w:t xml:space="preserve">Temporary food establishments.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temporary food establishment license issued for up to 14 consecutive days in conjunction with a single event is $50 (Iowa Code section </w:t>
      </w:r>
      <w:hyperlink r:id="rId67">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fee for a temporary food establishment license issued for multiple nonconcurrent events on a countywide basis during a calendar year is $200 (Iowa Code section </w:t>
      </w:r>
      <w:hyperlink r:id="rId68">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 Temporary food establishments that operate simultaneously at more than one location within a county are required to have a separate license for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w:t>
      </w:r>
      <w:r>
        <w:rPr>
          <w:rFonts w:ascii="Times New Roman" w:hAnsi="Times New Roman"/>
          <w:b w:val="false"/>
          <w:i w:val="false"/>
          <w:color w:val="000000"/>
          <w:sz w:val="22"/>
        </w:rPr>
        <w:t> </w:t>
      </w:r>
      <w:r>
        <w:rPr>
          <w:rFonts w:ascii="Times New Roman" w:hAnsi="Times New Roman"/>
          <w:b w:val="false"/>
          <w:i/>
          <w:color w:val="000000"/>
          <w:sz w:val="22"/>
        </w:rPr>
        <w:t xml:space="preserve">Food processing plants including food storage facilities (warehouses). </w:t>
      </w:r>
      <w:r>
        <w:rPr>
          <w:rFonts w:ascii="Times New Roman" w:hAnsi="Times New Roman"/>
          <w:b w:val="false"/>
          <w:i w:val="false"/>
          <w:color w:val="000000"/>
          <w:sz w:val="22"/>
        </w:rPr>
        <w:t xml:space="preserve">For food processing plants, the annual license fee is based on the annual gross sales of food and food products handled at that plant or food storage facility (warehouse) (Iowa Code section </w:t>
      </w:r>
      <w:hyperlink r:id="rId69">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annual gross sales of less than $200,000—$150.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annual gross sales of $200,000 to $2 million—$300.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annual gross sales of more than $2 million—$500.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30.4(8)</w:t>
      </w:r>
      <w:r>
        <w:rPr>
          <w:rFonts w:ascii="Times New Roman" w:hAnsi="Times New Roman"/>
          <w:b w:val="false"/>
          <w:i w:val="false"/>
          <w:color w:val="000000"/>
          <w:sz w:val="22"/>
        </w:rPr>
        <w:t> </w:t>
      </w:r>
      <w:r>
        <w:rPr>
          <w:rFonts w:ascii="Times New Roman" w:hAnsi="Times New Roman"/>
          <w:b w:val="false"/>
          <w:i/>
          <w:color w:val="000000"/>
          <w:sz w:val="22"/>
        </w:rPr>
        <w:t xml:space="preserve">Farmers market. </w:t>
      </w:r>
      <w:r>
        <w:rPr>
          <w:rFonts w:ascii="Times New Roman" w:hAnsi="Times New Roman"/>
          <w:b w:val="false"/>
          <w:i w:val="false"/>
          <w:color w:val="000000"/>
          <w:sz w:val="22"/>
        </w:rPr>
        <w:t>A person selling time/temperature control for safety food at a farmers market must pay an annual license fee of $150 for each county of operation. Persons who operate simultaneously at more than one location within a county are required to have a separate license for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30.4(9)</w:t>
      </w:r>
      <w:r>
        <w:rPr>
          <w:rFonts w:ascii="Times New Roman" w:hAnsi="Times New Roman"/>
          <w:b w:val="false"/>
          <w:i w:val="false"/>
          <w:color w:val="000000"/>
          <w:sz w:val="22"/>
        </w:rPr>
        <w:t> </w:t>
      </w:r>
      <w:r>
        <w:rPr>
          <w:rFonts w:ascii="Times New Roman" w:hAnsi="Times New Roman"/>
          <w:b w:val="false"/>
          <w:i/>
          <w:color w:val="000000"/>
          <w:sz w:val="22"/>
        </w:rPr>
        <w:t xml:space="preserve"> Certificate of free sale or sanitation. </w:t>
      </w:r>
      <w:r>
        <w:rPr>
          <w:rFonts w:ascii="Times New Roman" w:hAnsi="Times New Roman"/>
          <w:b w:val="false"/>
          <w:i w:val="false"/>
          <w:color w:val="000000"/>
          <w:sz w:val="22"/>
        </w:rPr>
        <w:t>The fee for a certificate of free sale or sanitation is $35 for the first certificate and $10 for each additional identical certificate requested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30.4(10)</w:t>
      </w:r>
      <w:r>
        <w:rPr>
          <w:rFonts w:ascii="Times New Roman" w:hAnsi="Times New Roman"/>
          <w:b w:val="false"/>
          <w:i w:val="false"/>
          <w:color w:val="000000"/>
          <w:sz w:val="22"/>
        </w:rPr>
        <w:t> </w:t>
      </w:r>
      <w:r>
        <w:rPr>
          <w:rFonts w:ascii="Times New Roman" w:hAnsi="Times New Roman"/>
          <w:b w:val="false"/>
          <w:i/>
          <w:color w:val="000000"/>
          <w:sz w:val="22"/>
        </w:rPr>
        <w:t xml:space="preserve">Unattended food establishment. </w:t>
      </w:r>
      <w:r>
        <w:rPr>
          <w:rFonts w:ascii="Times New Roman" w:hAnsi="Times New Roman"/>
          <w:b w:val="false"/>
          <w:i w:val="false"/>
          <w:color w:val="000000"/>
          <w:sz w:val="22"/>
        </w:rPr>
        <w:t xml:space="preserve">The annual license fee for an unattended food establishment is based on the annual gross food and beverage sales (Iowa Code section </w:t>
      </w:r>
      <w:hyperlink r:id="rId70">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gross sales of less than $100,000—$75.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gross sales of $100,000 or more—$150.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w:t>
      </w:r>
      <w:r>
        <w:rPr>
          <w:rFonts w:ascii="Times New Roman" w:hAnsi="Times New Roman"/>
          <w:b w:val="false"/>
          <w:i w:val="false"/>
          <w:color w:val="000000"/>
          <w:sz w:val="22"/>
        </w:rPr>
        <w:t> </w:t>
      </w:r>
      <w:r>
        <w:rPr>
          <w:rFonts w:ascii="Times New Roman" w:hAnsi="Times New Roman"/>
          <w:b w:val="false"/>
          <w:i/>
          <w:color w:val="000000"/>
          <w:sz w:val="22"/>
        </w:rPr>
        <w:t xml:space="preserve">Events. </w:t>
      </w:r>
      <w:r>
        <w:rPr>
          <w:rFonts w:ascii="Times New Roman" w:hAnsi="Times New Roman"/>
          <w:b w:val="false"/>
          <w:i w:val="false"/>
          <w:color w:val="000000"/>
          <w:sz w:val="22"/>
        </w:rPr>
        <w:t xml:space="preserve">The license fee for an event is $50, which shall be submitted with a license application to the appropriate regulatory authority at least 60 days in advance of the event. An “event” for purposes of this subrule does not include a function with ten or fewer temporary food establishments, a fair as defined in Iowa Code section </w:t>
      </w:r>
      <w:hyperlink r:id="rId71">
        <w:r>
          <w:rPr>
            <w:rStyle w:val="Hyperlink"/>
            <w:rFonts w:ascii="Times New Roman" w:hAnsi="Times New Roman"/>
            <w:b w:val="false"/>
            <w:i w:val="false"/>
            <w:color w:val="000000"/>
            <w:sz w:val="22"/>
          </w:rPr>
          <w:t>174.1</w:t>
        </w:r>
      </w:hyperlink>
      <w:r>
        <w:rPr>
          <w:rFonts w:ascii="Times New Roman" w:hAnsi="Times New Roman"/>
          <w:b w:val="false"/>
          <w:i w:val="false"/>
          <w:color w:val="000000"/>
          <w:sz w:val="22"/>
        </w:rPr>
        <w:t>, or a farmers 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w:t>
      </w:r>
      <w:r>
        <w:rPr>
          <w:rFonts w:ascii="Times New Roman" w:hAnsi="Times New Roman"/>
          <w:b w:val="false"/>
          <w:i w:val="false"/>
          <w:color w:val="000000"/>
          <w:sz w:val="22"/>
        </w:rPr>
        <w:t> </w:t>
      </w:r>
      <w:r>
        <w:rPr>
          <w:rFonts w:ascii="Times New Roman" w:hAnsi="Times New Roman"/>
          <w:b w:val="false"/>
          <w:i/>
          <w:color w:val="000000"/>
          <w:sz w:val="22"/>
        </w:rPr>
        <w:t xml:space="preserve">Voluntary inspection fee. </w:t>
      </w:r>
      <w:r>
        <w:rPr>
          <w:rFonts w:ascii="Times New Roman" w:hAnsi="Times New Roman"/>
          <w:b w:val="false"/>
          <w:i w:val="false"/>
          <w:color w:val="000000"/>
          <w:sz w:val="22"/>
        </w:rPr>
        <w:t>The department shall charge a voluntary inspection fee of $100 when a premises that is not a food establishment requests a voluntary inspection.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137C.9</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3187C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4139C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6859C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481—30.5</w:t>
      </w:r>
      <w:r>
        <w:rPr>
          <w:rFonts w:ascii="Times New Roman" w:hAnsi="Times New Roman"/>
          <w:b/>
          <w:i w:val="false"/>
          <w:color w:val="000000"/>
          <w:sz w:val="22"/>
        </w:rPr>
        <w:t xml:space="preserve">(137F) </w:t>
      </w:r>
      <w:r>
        <w:rPr>
          <w:rFonts w:ascii="Times New Roman" w:hAnsi="Times New Roman"/>
          <w:b/>
          <w:i w:val="false"/>
          <w:color w:val="000000"/>
          <w:sz w:val="22"/>
        </w:rPr>
        <w:t xml:space="preserve">Penalty and delinquent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color w:val="000000"/>
          <w:sz w:val="22"/>
        </w:rPr>
        <w:t xml:space="preserve">Late penalty. </w:t>
      </w:r>
      <w:r>
        <w:rPr>
          <w:rFonts w:ascii="Times New Roman" w:hAnsi="Times New Roman"/>
          <w:b w:val="false"/>
          <w:i w:val="false"/>
          <w:color w:val="000000"/>
          <w:sz w:val="22"/>
        </w:rPr>
        <w:t>Food establishment licenses and food processing plant licenses that are renewed by the licensee after the license expiration date shall be subject to a penalty of 10 percent of the license fee per month. A license shall be renewed only if the license holder has provided documentation pursuant to subrule 30.3(5).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color w:val="000000"/>
          <w:sz w:val="22"/>
        </w:rPr>
        <w:t xml:space="preserve">Penalty for opening or operating without a license. </w:t>
      </w:r>
      <w:r>
        <w:rPr>
          <w:rFonts w:ascii="Times New Roman" w:hAnsi="Times New Roman"/>
          <w:b w:val="false"/>
          <w:i w:val="false"/>
          <w:color w:val="000000"/>
          <w:sz w:val="22"/>
        </w:rPr>
        <w:t>A person who opens or operates a food establishment or food processing plant without a license is subject to a penalty of up to twice the amount of the annual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color w:val="000000"/>
          <w:sz w:val="22"/>
        </w:rPr>
        <w:t xml:space="preserve">Civil penalty for violations. </w:t>
      </w:r>
      <w:r>
        <w:rPr>
          <w:rFonts w:ascii="Times New Roman" w:hAnsi="Times New Roman"/>
          <w:b w:val="false"/>
          <w:i w:val="false"/>
          <w:color w:val="000000"/>
          <w:sz w:val="22"/>
        </w:rPr>
        <w:t xml:space="preserve">A person who violates Iowa Code chapter </w:t>
      </w:r>
      <w:hyperlink r:id="rId7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or these rules shall be subject to a civil penalty of $100 for each violation. Prior to assessment of the penalty, the license holder shall have an opportunity for a hearing using the process outlined in rule </w:t>
      </w:r>
      <w:hyperlink r:id="rId75">
        <w:r>
          <w:rPr>
            <w:rStyle w:val="Hyperlink"/>
            <w:rFonts w:ascii="Times New Roman" w:hAnsi="Times New Roman"/>
            <w:b w:val="false"/>
            <w:i w:val="false"/>
            <w:color w:val="000000"/>
            <w:sz w:val="22"/>
          </w:rPr>
          <w:t>481—30.11</w:t>
        </w:r>
      </w:hyperlink>
      <w:r>
        <w:rPr>
          <w:rFonts w:ascii="Times New Roman" w:hAnsi="Times New Roman"/>
          <w:b w:val="false"/>
          <w:i w:val="false"/>
          <w:color w:val="000000"/>
          <w:sz w:val="22"/>
        </w:rPr>
        <w:t>(10A,137C,137F).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6">
        <w:r>
          <w:rPr>
            <w:rStyle w:val="Hyperlink"/>
            <w:rFonts w:ascii="Times New Roman" w:hAnsi="Times New Roman"/>
            <w:b w:val="false"/>
            <w:i w:val="false"/>
            <w:color w:val="000000"/>
            <w:sz w:val="22"/>
          </w:rPr>
          <w:t>137F.4</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137F.9</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137F.17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481—30.6</w:t>
      </w:r>
      <w:r>
        <w:rPr>
          <w:rFonts w:ascii="Times New Roman" w:hAnsi="Times New Roman"/>
          <w:b/>
          <w:i w:val="false"/>
          <w:color w:val="000000"/>
          <w:sz w:val="22"/>
        </w:rPr>
        <w:t xml:space="preserve">(137C,137F)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If a check intended to pay for any license provided for under Iowa Code chapter </w:t>
      </w:r>
      <w:hyperlink r:id="rId79">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or </w:t>
      </w:r>
      <w:hyperlink r:id="rId80">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is not honored for payment by the bank on which it is drafted, the department will attempt to redeem the check. The department will notify the applicant of the need to provide sufficient payment. An additional fee of $25 shall be assessed for each dishonored check. If the department does not receive cash to replace the check, the establishment will be operating without a valid license. Furthermore, any late penalties assessed pursuant to rule </w:t>
      </w:r>
      <w:hyperlink r:id="rId81">
        <w:r>
          <w:rPr>
            <w:rStyle w:val="Hyperlink"/>
            <w:rFonts w:ascii="Times New Roman" w:hAnsi="Times New Roman"/>
            <w:b w:val="false"/>
            <w:i w:val="false"/>
            <w:color w:val="000000"/>
            <w:sz w:val="22"/>
          </w:rPr>
          <w:t>481—30.5</w:t>
        </w:r>
      </w:hyperlink>
      <w:r>
        <w:rPr>
          <w:rFonts w:ascii="Times New Roman" w:hAnsi="Times New Roman"/>
          <w:b w:val="false"/>
          <w:i w:val="false"/>
          <w:color w:val="000000"/>
          <w:sz w:val="22"/>
        </w:rPr>
        <w:t>(137F) will accrue and must be paid.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137C.9</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481—30.7</w:t>
      </w:r>
      <w:r>
        <w:rPr>
          <w:rFonts w:ascii="Times New Roman" w:hAnsi="Times New Roman"/>
          <w:b/>
          <w:i w:val="false"/>
          <w:color w:val="000000"/>
          <w:sz w:val="22"/>
        </w:rPr>
        <w:t xml:space="preserve">(137F) </w:t>
      </w:r>
      <w:r>
        <w:rPr>
          <w:rFonts w:ascii="Times New Roman" w:hAnsi="Times New Roman"/>
          <w:b/>
          <w:i w:val="false"/>
          <w:color w:val="000000"/>
          <w:sz w:val="22"/>
        </w:rPr>
        <w:t xml:space="preserve">Double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30.7(1)</w:t>
      </w:r>
      <w:r>
        <w:rPr>
          <w:rFonts w:ascii="Times New Roman" w:hAnsi="Times New Roman"/>
          <w:b w:val="false"/>
          <w:i w:val="false"/>
          <w:color w:val="000000"/>
          <w:sz w:val="22"/>
        </w:rPr>
        <w:t> </w:t>
      </w:r>
      <w:r>
        <w:rPr>
          <w:rFonts w:ascii="Times New Roman" w:hAnsi="Times New Roman"/>
          <w:b w:val="false"/>
          <w:i w:val="false"/>
          <w:color w:val="000000"/>
          <w:sz w:val="22"/>
        </w:rPr>
        <w:t>Any establishment that holds a food service establishment license and has gross sales over $20,000 annually in packaged food items intended for consumption off the premises shall also be required to obtain a retail food establishment license. The license holder shall keep a record of these food sales and make it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30.7(2)</w:t>
      </w:r>
      <w:r>
        <w:rPr>
          <w:rFonts w:ascii="Times New Roman" w:hAnsi="Times New Roman"/>
          <w:b w:val="false"/>
          <w:i w:val="false"/>
          <w:color w:val="000000"/>
          <w:sz w:val="22"/>
        </w:rPr>
        <w:t> </w:t>
      </w:r>
      <w:r>
        <w:rPr>
          <w:rFonts w:ascii="Times New Roman" w:hAnsi="Times New Roman"/>
          <w:b w:val="false"/>
          <w:i w:val="false"/>
          <w:color w:val="000000"/>
          <w:sz w:val="22"/>
        </w:rPr>
        <w:t>Licensed retail food establishments serving only coffee, soft drinks, popcorn, prepackaged sandwiches or other food items manufactured and packaged by a licensed establishment need only obtain a retail food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30.7(3)</w:t>
      </w:r>
      <w:r>
        <w:rPr>
          <w:rFonts w:ascii="Times New Roman" w:hAnsi="Times New Roman"/>
          <w:b w:val="false"/>
          <w:i w:val="false"/>
          <w:color w:val="000000"/>
          <w:sz w:val="22"/>
        </w:rPr>
        <w:t> </w:t>
      </w:r>
      <w:r>
        <w:rPr>
          <w:rFonts w:ascii="Times New Roman" w:hAnsi="Times New Roman"/>
          <w:b w:val="false"/>
          <w:i w:val="false"/>
          <w:color w:val="000000"/>
          <w:sz w:val="22"/>
        </w:rPr>
        <w:t xml:space="preserve">A food establishment that holds both a food service establishment license and a retail food establishment license shall pay a license fee based on the annual gross sales for the dominant form of business plus $150. </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food establishment holds a food service establishment license and a retail food establishment license. It has annual gross sales of more than $750,000 for its retail food establishment and $120,000 for its food service establishment. The food establishment pays a license fee of $400 for its retail food establishment license (</w:t>
      </w:r>
      <w:hyperlink r:id="rId84">
        <w:r>
          <w:rPr>
            <w:rStyle w:val="Hyperlink"/>
            <w:rFonts w:ascii="Times New Roman" w:hAnsi="Times New Roman"/>
            <w:b w:val="false"/>
            <w:i w:val="false"/>
            <w:color w:val="000000"/>
            <w:sz w:val="22"/>
          </w:rPr>
          <w:t>paragraph 30.4(1)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$150 for its food service establishment license (rule </w:t>
      </w:r>
      <w:hyperlink r:id="rId85">
        <w:r>
          <w:rPr>
            <w:rStyle w:val="Hyperlink"/>
            <w:rFonts w:ascii="Times New Roman" w:hAnsi="Times New Roman"/>
            <w:b w:val="false"/>
            <w:i w:val="false"/>
            <w:color w:val="000000"/>
            <w:sz w:val="22"/>
          </w:rPr>
          <w:t>481—30.7</w:t>
        </w:r>
      </w:hyperlink>
      <w:r>
        <w:rPr>
          <w:rFonts w:ascii="Times New Roman" w:hAnsi="Times New Roman"/>
          <w:b w:val="false"/>
          <w:i w:val="false"/>
          <w:color w:val="000000"/>
          <w:sz w:val="22"/>
        </w:rPr>
        <w:t xml:space="preserve">(137F)).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w:t>
      </w:r>
      <w:r>
        <w:rPr>
          <w:rFonts w:ascii="Times New Roman" w:hAnsi="Times New Roman"/>
          <w:b w:val="false"/>
          <w:i w:val="false"/>
          <w:color w:val="000000"/>
          <w:sz w:val="22"/>
        </w:rPr>
        <w:t> </w:t>
      </w:r>
      <w:r>
        <w:rPr>
          <w:rFonts w:ascii="Times New Roman" w:hAnsi="Times New Roman"/>
          <w:b w:val="false"/>
          <w:i w:val="false"/>
          <w:color w:val="000000"/>
          <w:sz w:val="22"/>
        </w:rPr>
        <w:t>The dominant form of business shall determine the type of license for establishments which engage in operations covered under both the definition of a food establishment and of a food processing plant. The dominant form of business shall be deemed to be the business with higher annual gross sales. Food establishments that also process low-acid food in hermetically sealed containers or process acidified foods are required to have a food processing plant license in addition to the food establishment license. Regardless of the type of license, food processing plants shall be inspected pursuant to food processing inspection standards and food establishments shall be inspected pursuant to the Food Code.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6">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137F.6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4139C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4731C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481—30.8</w:t>
      </w:r>
      <w:r>
        <w:rPr>
          <w:rFonts w:ascii="Times New Roman" w:hAnsi="Times New Roman"/>
          <w:b/>
          <w:i w:val="false"/>
          <w:color w:val="000000"/>
          <w:sz w:val="22"/>
        </w:rPr>
        <w:t xml:space="preserve">(137C,137F) </w:t>
      </w:r>
      <w:r>
        <w:rPr>
          <w:rFonts w:ascii="Times New Roman" w:hAnsi="Times New Roman"/>
          <w:b/>
          <w:i w:val="false"/>
          <w:color w:val="000000"/>
          <w:sz w:val="22"/>
        </w:rPr>
        <w:t xml:space="preserve">Inspection frequency.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30.8(1)</w:t>
      </w:r>
      <w:r>
        <w:rPr>
          <w:rFonts w:ascii="Times New Roman" w:hAnsi="Times New Roman"/>
          <w:b w:val="false"/>
          <w:i w:val="false"/>
          <w:color w:val="000000"/>
          <w:sz w:val="22"/>
        </w:rPr>
        <w:t> </w:t>
      </w:r>
      <w:r>
        <w:rPr>
          <w:rFonts w:ascii="Times New Roman" w:hAnsi="Times New Roman"/>
          <w:b w:val="false"/>
          <w:i/>
          <w:color w:val="000000"/>
          <w:sz w:val="22"/>
        </w:rPr>
        <w:t xml:space="preserve">Food establishments. </w:t>
      </w:r>
      <w:r>
        <w:rPr>
          <w:rFonts w:ascii="Times New Roman" w:hAnsi="Times New Roman"/>
          <w:b w:val="false"/>
          <w:i w:val="false"/>
          <w:color w:val="000000"/>
          <w:sz w:val="22"/>
        </w:rPr>
        <w:t>Food establishments shall be inspected based upon risk assessment and shall have routine inspections at least once every 60 months. Very low risk food establishments will not have a routine inspection frequency.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30.8(2)</w:t>
      </w:r>
      <w:r>
        <w:rPr>
          <w:rFonts w:ascii="Times New Roman" w:hAnsi="Times New Roman"/>
          <w:b w:val="false"/>
          <w:i w:val="false"/>
          <w:color w:val="000000"/>
          <w:sz w:val="22"/>
        </w:rPr>
        <w:t> </w:t>
      </w:r>
      <w:r>
        <w:rPr>
          <w:rFonts w:ascii="Times New Roman" w:hAnsi="Times New Roman"/>
          <w:b w:val="false"/>
          <w:i/>
          <w:color w:val="000000"/>
          <w:sz w:val="22"/>
        </w:rPr>
        <w:t xml:space="preserve">Food processing plants. </w:t>
      </w:r>
      <w:r>
        <w:rPr>
          <w:rFonts w:ascii="Times New Roman" w:hAnsi="Times New Roman"/>
          <w:b w:val="false"/>
          <w:i w:val="false"/>
          <w:color w:val="000000"/>
          <w:sz w:val="22"/>
        </w:rPr>
        <w:t>Food processing plants that process foods shall be inspected based upon risk assessment and shall have routine inspections at least once every 60 months. If the United States Food and Drug Administration completes an inspection in a facility, the inspection shall count as a state inspection for frequency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30.8(3)</w:t>
      </w:r>
      <w:r>
        <w:rPr>
          <w:rFonts w:ascii="Times New Roman" w:hAnsi="Times New Roman"/>
          <w:b w:val="false"/>
          <w:i w:val="false"/>
          <w:color w:val="000000"/>
          <w:sz w:val="22"/>
        </w:rPr>
        <w:t> </w:t>
      </w:r>
      <w:r>
        <w:rPr>
          <w:rFonts w:ascii="Times New Roman" w:hAnsi="Times New Roman"/>
          <w:b w:val="false"/>
          <w:i/>
          <w:color w:val="000000"/>
          <w:sz w:val="22"/>
        </w:rPr>
        <w:t xml:space="preserve">Food processing plants that store foods. </w:t>
      </w:r>
      <w:r>
        <w:rPr>
          <w:rFonts w:ascii="Times New Roman" w:hAnsi="Times New Roman"/>
          <w:b w:val="false"/>
          <w:i w:val="false"/>
          <w:color w:val="000000"/>
          <w:sz w:val="22"/>
        </w:rPr>
        <w:t>Food processing plants that store foods shall be inspected based upon risk assessment and shall be inspected at least once every 84 months. If the United States Food and Drug Administration completes an inspection in a facility, the inspection shall count as a state inspection for frequency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30.8(4)</w:t>
      </w:r>
      <w:r>
        <w:rPr>
          <w:rFonts w:ascii="Times New Roman" w:hAnsi="Times New Roman"/>
          <w:b w:val="false"/>
          <w:i w:val="false"/>
          <w:color w:val="000000"/>
          <w:sz w:val="22"/>
        </w:rPr>
        <w:t> </w:t>
      </w:r>
      <w:r>
        <w:rPr>
          <w:rFonts w:ascii="Times New Roman" w:hAnsi="Times New Roman"/>
          <w:b w:val="false"/>
          <w:i/>
          <w:color w:val="000000"/>
          <w:sz w:val="22"/>
        </w:rPr>
        <w:t xml:space="preserve">Hotels. </w:t>
      </w:r>
      <w:r>
        <w:rPr>
          <w:rFonts w:ascii="Times New Roman" w:hAnsi="Times New Roman"/>
          <w:b w:val="false"/>
          <w:i w:val="false"/>
          <w:color w:val="000000"/>
          <w:sz w:val="22"/>
        </w:rPr>
        <w:t xml:space="preserve">Hotels shall be inspected in accordance with Iowa Code chapter </w:t>
      </w:r>
      <w:hyperlink r:id="rId88">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30.8(5)</w:t>
      </w:r>
      <w:r>
        <w:rPr>
          <w:rFonts w:ascii="Times New Roman" w:hAnsi="Times New Roman"/>
          <w:b w:val="false"/>
          <w:i w:val="false"/>
          <w:color w:val="000000"/>
          <w:sz w:val="22"/>
        </w:rPr>
        <w:t> </w:t>
      </w:r>
      <w:r>
        <w:rPr>
          <w:rFonts w:ascii="Times New Roman" w:hAnsi="Times New Roman"/>
          <w:b w:val="false"/>
          <w:i/>
          <w:color w:val="000000"/>
          <w:sz w:val="22"/>
        </w:rPr>
        <w:t xml:space="preserve">Farmers market time/temperature control for safety food. </w:t>
      </w:r>
      <w:r>
        <w:rPr>
          <w:rFonts w:ascii="Times New Roman" w:hAnsi="Times New Roman"/>
          <w:b w:val="false"/>
          <w:i w:val="false"/>
          <w:color w:val="000000"/>
          <w:sz w:val="22"/>
        </w:rPr>
        <w:t>Farmers market time/temperature control for safety food licensees shall be inspected at least once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30.8(6)</w:t>
      </w:r>
      <w:r>
        <w:rPr>
          <w:rFonts w:ascii="Times New Roman" w:hAnsi="Times New Roman"/>
          <w:b w:val="false"/>
          <w:i w:val="false"/>
          <w:color w:val="000000"/>
          <w:sz w:val="22"/>
        </w:rPr>
        <w:t> </w:t>
      </w:r>
      <w:r>
        <w:rPr>
          <w:rFonts w:ascii="Times New Roman" w:hAnsi="Times New Roman"/>
          <w:b w:val="false"/>
          <w:i/>
          <w:color w:val="000000"/>
          <w:sz w:val="22"/>
        </w:rPr>
        <w:t xml:space="preserve">Temporary food establishments. </w:t>
      </w:r>
      <w:r>
        <w:rPr>
          <w:rFonts w:ascii="Times New Roman" w:hAnsi="Times New Roman"/>
          <w:b w:val="false"/>
          <w:i w:val="false"/>
          <w:color w:val="000000"/>
          <w:sz w:val="22"/>
        </w:rPr>
        <w:t xml:space="preserve">Temporary food establishments issued an annual license pursuant to paragraph </w:t>
      </w:r>
      <w:hyperlink r:id="rId89">
        <w:r>
          <w:rPr>
            <w:rStyle w:val="Hyperlink"/>
            <w:rFonts w:ascii="Times New Roman" w:hAnsi="Times New Roman"/>
            <w:b w:val="false"/>
            <w:i w:val="false"/>
            <w:color w:val="000000"/>
            <w:sz w:val="22"/>
          </w:rPr>
          <w:t>30.4(6)</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be inspected at least once annually.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137C.11</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137F.10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3187C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4139C</w:t>
      </w:r>
      <w:r>
        <w:rPr>
          <w:rFonts w:ascii="Times New Roman" w:hAnsi="Times New Roman"/>
          <w:b w:val="false"/>
          <w:i w:val="false"/>
          <w:color w:val="000000"/>
          <w:sz w:val="16"/>
        </w:rPr>
        <w:t>, IAB 11/21/18,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6859C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481—30.9</w:t>
      </w:r>
      <w:r>
        <w:rPr>
          <w:rFonts w:ascii="Times New Roman" w:hAnsi="Times New Roman"/>
          <w:b/>
          <w:i w:val="false"/>
          <w:color w:val="000000"/>
          <w:sz w:val="22"/>
        </w:rPr>
        <w:t xml:space="preserve">(22) </w:t>
      </w:r>
      <w:r>
        <w:rPr>
          <w:rFonts w:ascii="Times New Roman" w:hAnsi="Times New Roman"/>
          <w:b/>
          <w:i w:val="false"/>
          <w:color w:val="000000"/>
          <w:sz w:val="22"/>
        </w:rPr>
        <w:t xml:space="preserve">Examination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Generally, information collected by the food and consumer safety bureau and contractors is considered public information. Records are stored in computer files and are not matched with any other data system. Information is available for public review and will be provided when requested from the office of the director. Inspection reports are available for public viewing at </w:t>
      </w:r>
      <w:hyperlink r:id="rId92">
        <w:r>
          <w:rPr>
            <w:rStyle w:val="Hyperlink"/>
            <w:rFonts w:ascii="Times New Roman" w:hAnsi="Times New Roman"/>
            <w:b w:val="false"/>
            <w:i w:val="false"/>
            <w:color w:val="000000"/>
            <w:sz w:val="22"/>
            <w:u w:val="single"/>
          </w:rPr>
          <w:t>www.food.dia.iowa.gov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The following are examples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Trade secrets and proprietary information including items such as formulations, processes, policies and procedures, and customer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information related to foodborne illness complaints and outbreaks;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any identifying information of a person who files a complaint with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state or federal agencies’ records. </w:t>
      </w:r>
    </w:p>
    <w:p>
      <w:pPr>
        <w:spacing w:before="0" w:after="0"/>
        <w:ind w:left="120"/>
        <w:jc w:val="both"/>
      </w:pPr>
      <w:r>
        <w:rPr>
          <w:rFonts w:ascii="Times New Roman" w:hAnsi="Times New Roman"/>
          <w:b w:val="false"/>
          <w:i w:val="false"/>
          <w:color w:val="000000"/>
          <w:sz w:val="22"/>
        </w:rPr>
        <w:t>For records of other federal or state agencies, the department shall refer the requester of such information to the appropriate agency.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3">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4731C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481—30.10</w:t>
      </w:r>
      <w:r>
        <w:rPr>
          <w:rFonts w:ascii="Times New Roman" w:hAnsi="Times New Roman"/>
          <w:b/>
          <w:i w:val="false"/>
          <w:color w:val="000000"/>
          <w:sz w:val="22"/>
        </w:rPr>
        <w:t xml:space="preserve">(17A,137C,137F) </w:t>
      </w:r>
      <w:r>
        <w:rPr>
          <w:rFonts w:ascii="Times New Roman" w:hAnsi="Times New Roman"/>
          <w:b/>
          <w:i w:val="false"/>
          <w:color w:val="000000"/>
          <w:sz w:val="22"/>
        </w:rPr>
        <w:t xml:space="preserve">Denial, suspension, or revocation of a license to operate. </w:t>
      </w:r>
      <w:r>
        <w:rPr>
          <w:rFonts w:ascii="Times New Roman" w:hAnsi="Times New Roman"/>
          <w:b w:val="false"/>
          <w:i w:val="false"/>
          <w:color w:val="000000"/>
          <w:sz w:val="22"/>
        </w:rPr>
        <w:t>Notice of denial, suspension or revocation of a license will be provided by the department and shall be effective 30 days after mailing or personal service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30.10(1)</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license. </w:t>
      </w:r>
      <w:r>
        <w:rPr>
          <w:rFonts w:ascii="Times New Roman" w:hAnsi="Times New Roman"/>
          <w:b w:val="false"/>
          <w:i w:val="false"/>
          <w:color w:val="000000"/>
          <w:sz w:val="22"/>
        </w:rPr>
        <w:t xml:space="preserve">To the extent not inconsistent with Iowa Code chapters </w:t>
      </w:r>
      <w:hyperlink r:id="rId9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rules adopted pursuant to those chapters, chapter 8 of the Food Code shall be adopted for food establishments. The department or contractor may immediately suspend a license in cases of an imminent health hazard. The procedures of Iowa Code section </w:t>
      </w:r>
      <w:hyperlink r:id="rId99">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Food Code chapter 8 shall be followed in cases of an imminent health hazard. The appeal process in rule </w:t>
      </w:r>
      <w:hyperlink r:id="rId100">
        <w:r>
          <w:rPr>
            <w:rStyle w:val="Hyperlink"/>
            <w:rFonts w:ascii="Times New Roman" w:hAnsi="Times New Roman"/>
            <w:b w:val="false"/>
            <w:i w:val="false"/>
            <w:color w:val="000000"/>
            <w:sz w:val="22"/>
          </w:rPr>
          <w:t>481—30.11</w:t>
        </w:r>
      </w:hyperlink>
      <w:r>
        <w:rPr>
          <w:rFonts w:ascii="Times New Roman" w:hAnsi="Times New Roman"/>
          <w:b w:val="false"/>
          <w:i w:val="false"/>
          <w:color w:val="000000"/>
          <w:sz w:val="22"/>
        </w:rPr>
        <w:t xml:space="preserve">(10A,137C,137F) is available following an immediate suspension. The department may immediately suspend the license of a food processing plant or hotel if an imminent health hazard finding is made and the procedures of Iowa Code section </w:t>
      </w:r>
      <w:hyperlink r:id="rId101">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are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30.10(2)</w:t>
      </w:r>
      <w:r>
        <w:rPr>
          <w:rFonts w:ascii="Times New Roman" w:hAnsi="Times New Roman"/>
          <w:b w:val="false"/>
          <w:i w:val="false"/>
          <w:color w:val="000000"/>
          <w:sz w:val="22"/>
        </w:rPr>
        <w:t> </w:t>
      </w:r>
      <w:r>
        <w:rPr>
          <w:rFonts w:ascii="Times New Roman" w:hAnsi="Times New Roman"/>
          <w:b w:val="false"/>
          <w:i/>
          <w:color w:val="000000"/>
          <w:sz w:val="22"/>
        </w:rPr>
        <w:t xml:space="preserve">Criminal offense—conviction of license holder.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the license of a license holder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Conducts an activity constituting a criminal offense in the licensed food establishment;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convicted of a felony as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or revoke the license of a license holder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Conducts an activity constituting a criminal offense in the licensed food establishment;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convicted of a serious misdemeanor or aggravated misdemeanor as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final order or judgment of conviction or plea of guilty shall be conclusive evidence of the conviction of the license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decision to revoke or suspend a license may be contested by the adversely affected party pursuant to the provisions of rule </w:t>
      </w:r>
      <w:hyperlink r:id="rId102">
        <w:r>
          <w:rPr>
            <w:rStyle w:val="Hyperlink"/>
            <w:rFonts w:ascii="Times New Roman" w:hAnsi="Times New Roman"/>
            <w:b w:val="false"/>
            <w:i w:val="false"/>
            <w:color w:val="000000"/>
            <w:sz w:val="22"/>
          </w:rPr>
          <w:t>481—30.11(10A,137C,137F)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0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3187C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w:t>
      </w:r>
      <w:r>
        <w:rPr>
          <w:rFonts w:ascii="Times New Roman" w:hAnsi="Times New Roman"/>
          <w:b/>
          <w:i w:val="false"/>
          <w:color w:val="000000"/>
          <w:sz w:val="22"/>
        </w:rPr>
        <w:t xml:space="preserve">(10A,137C,137F) </w:t>
      </w:r>
      <w:r>
        <w:rPr>
          <w:rFonts w:ascii="Times New Roman" w:hAnsi="Times New Roman"/>
          <w:b/>
          <w:i w:val="false"/>
          <w:color w:val="000000"/>
          <w:sz w:val="22"/>
        </w:rPr>
        <w:t xml:space="preserve">Formal hearing. </w:t>
      </w:r>
      <w:r>
        <w:rPr>
          <w:rFonts w:ascii="Times New Roman" w:hAnsi="Times New Roman"/>
          <w:b w:val="false"/>
          <w:i w:val="false"/>
          <w:color w:val="000000"/>
          <w:sz w:val="22"/>
        </w:rPr>
        <w:t xml:space="preserve">All decisions of the food and consumer safety bureau may be contested by an adversely affected party. A request for a hearing must be made in writing to the Department of Inspections and Appeals, Lucas State Office Building, Des Moines, Iowa 50319, within 30 days of the mailing or service of a decision. Appeals and hearings are controlled by </w:t>
      </w:r>
      <w:hyperlink r:id="rId106">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“Contested Cases.”</w:t>
      </w:r>
    </w:p>
    <w:p>
      <w:pPr>
        <w:spacing w:before="0" w:after="0"/>
        <w:ind w:left="120"/>
        <w:jc w:val="both"/>
      </w:pPr>
      <w:r>
        <w:rPr>
          <w:rFonts w:ascii="Times New Roman" w:hAnsi="Times New Roman"/>
          <w:b w:val="false"/>
          <w:i w:val="false"/>
          <w:color w:val="000000"/>
          <w:sz w:val="22"/>
        </w:rPr>
        <w:t xml:space="preserve">For contractors, license holders shall have the opportunity for a hearing before the local board of health. If the hearing is conducted before the local board of health, the license holder may appeal to the department and shall follow the process for review in rule </w:t>
      </w:r>
      <w:hyperlink r:id="rId107">
        <w:r>
          <w:rPr>
            <w:rStyle w:val="Hyperlink"/>
            <w:rFonts w:ascii="Times New Roman" w:hAnsi="Times New Roman"/>
            <w:b w:val="false"/>
            <w:i w:val="false"/>
            <w:color w:val="000000"/>
            <w:sz w:val="22"/>
          </w:rPr>
          <w:t>481—9.3</w:t>
        </w:r>
      </w:hyperlink>
      <w:r>
        <w:rPr>
          <w:rFonts w:ascii="Times New Roman" w:hAnsi="Times New Roman"/>
          <w:b w:val="false"/>
          <w:i w:val="false"/>
          <w:color w:val="000000"/>
          <w:sz w:val="22"/>
        </w:rPr>
        <w:t>(10A,17A).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8">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Iowa Code chapters </w:t>
      </w:r>
      <w:hyperlink r:id="rId109">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w:t>
      </w:r>
      <w:r>
        <w:rPr>
          <w:rFonts w:ascii="Times New Roman" w:hAnsi="Times New Roman"/>
          <w:b/>
          <w:i w:val="false"/>
          <w:color w:val="000000"/>
          <w:sz w:val="22"/>
        </w:rPr>
        <w:t xml:space="preserve">(137F) </w:t>
      </w:r>
      <w:r>
        <w:rPr>
          <w:rFonts w:ascii="Times New Roman" w:hAnsi="Times New Roman"/>
          <w:b/>
          <w:i w:val="false"/>
          <w:color w:val="000000"/>
          <w:sz w:val="22"/>
        </w:rPr>
        <w:t xml:space="preserve">Primary servicing laboratory. </w:t>
      </w:r>
      <w:r>
        <w:rPr>
          <w:rFonts w:ascii="Times New Roman" w:hAnsi="Times New Roman"/>
          <w:b w:val="false"/>
          <w:i w:val="false"/>
          <w:color w:val="000000"/>
          <w:sz w:val="22"/>
        </w:rPr>
        <w:t xml:space="preserve">The primary servicing laboratory for the food and consumer safety bureau is the State Hygienic Laboratory at the University of Iowa created under Iowa Code section </w:t>
      </w:r>
      <w:hyperlink r:id="rId111">
        <w:r>
          <w:rPr>
            <w:rStyle w:val="Hyperlink"/>
            <w:rFonts w:ascii="Times New Roman" w:hAnsi="Times New Roman"/>
            <w:b w:val="false"/>
            <w:i w:val="false"/>
            <w:color w:val="000000"/>
            <w:sz w:val="22"/>
          </w:rPr>
          <w:t>263.7</w:t>
        </w:r>
      </w:hyperlink>
      <w:r>
        <w:rPr>
          <w:rFonts w:ascii="Times New Roman" w:hAnsi="Times New Roman"/>
          <w:b w:val="false"/>
          <w:i w:val="false"/>
          <w:color w:val="000000"/>
          <w:sz w:val="22"/>
        </w:rPr>
        <w:t>. If the laboratory is unable to perform laboratory services, the laboratory will assist in finding another laboratory with a preference toward laboratories that are in the FERN (Food Emergency Response Network) and have achieved ISO 17025 accreditation.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Iowa Code chapters </w:t>
      </w:r>
      <w:hyperlink r:id="rId114">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1190C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w:t>
      </w:r>
      <w:r>
        <w:rPr>
          <w:rFonts w:ascii="Times New Roman" w:hAnsi="Times New Roman"/>
          <w:b/>
          <w:i w:val="false"/>
          <w:color w:val="000000"/>
          <w:sz w:val="22"/>
        </w:rPr>
        <w:t xml:space="preserve">(10A,137F) </w:t>
      </w:r>
      <w:r>
        <w:rPr>
          <w:rFonts w:ascii="Times New Roman" w:hAnsi="Times New Roman"/>
          <w:b/>
          <w:i w:val="false"/>
          <w:color w:val="000000"/>
          <w:sz w:val="22"/>
        </w:rPr>
        <w:t xml:space="preserve">Cottage food.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val="false"/>
          <w:color w:val="000000"/>
          <w:sz w:val="22"/>
        </w:rPr>
        <w:t>Cottage food is exempt from all licensing, permitting, inspection, packaging, and labeling laws of the state if the food complies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food does not require time/temperature control for safety. When it is not obvious whether a food requires time/temperature control for safety, the food producer must provide documentation that a food does not require time/temperature control for safety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food is not a milk or milk product regulated under Iowa Code chapters </w:t>
      </w:r>
      <w:hyperlink r:id="rId117">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food is not a meat, meat food product, poultry, or poultry food product regulated under Iowa Code chapter </w:t>
      </w:r>
      <w:hyperlink r:id="rId119">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food is not unpasteurized fruit or vegetable juice.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food is produced in a private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food is sold and delivered by the producer directly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cottage food is labeled or affixed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to identify the name and address, phone number, or electronic mail address of the person preparing the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common name of the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ingredients of the cottage food in descending order of predominance.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“This product was produced at a residential property that is exempt from state licensing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cottage food contains one or more major food allergens, an additional allergen statement identifying each major allergen contained in the food by the common name of the allergen.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food is home-processed and contains home-canned pickles, vegetables, or fruits permitted under this rule, the date that the food was processed and canned.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Home-processed and home-canned pickles, vegetables, or fruits sold under this rule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batch must be measured by a pH meter or a water activity meter and shall have a finished equilibrium pH value of 4.60 or lower or a water activity value of 0.85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container that is sold or offered for sale must contain the date the food was processed and canned.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cottage food producer must provide batch testing records to the regulatory authority upon request, including at the point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Cottage food shall not be offered for sale in a food establishment except in a temporary food establishment, provided that the temporary food establishment is operated by the cottage food producer and the cottage food is offered for sale in a packaged form and labeled in accordance with </w:t>
      </w:r>
      <w:hyperlink r:id="rId120">
        <w:r>
          <w:rPr>
            <w:rStyle w:val="Hyperlink"/>
            <w:rFonts w:ascii="Times New Roman" w:hAnsi="Times New Roman"/>
            <w:b w:val="false"/>
            <w:i w:val="false"/>
            <w:color w:val="000000"/>
            <w:sz w:val="22"/>
          </w:rPr>
          <w:t>paragraph 30.13(1)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val="false"/>
          <w:color w:val="000000"/>
          <w:sz w:val="22"/>
        </w:rPr>
        <w:t>Compliance with the cottage food exemption provided in this rule does not represent compliance with federal law.</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1">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2431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6568C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1/8/88, Notice 11/18/87—published 1/27/88, effective 3/2/88]</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2/3/89, Notice 12/14/88—published 2/22/89, effective 3/29/89]</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4/28/89, Notice 3/22/89—published 5/17/89, effective 6/21/89]</w:t>
      </w:r>
    </w:p>
    <w:p>
      <w:pPr>
        <w:spacing w:before="0" w:after="0"/>
        <w:ind w:left="120"/>
        <w:jc w:val="center"/>
      </w:pPr>
      <w:r>
        <w:rPr>
          <w:rFonts w:ascii="Times New Roman" w:hAnsi="Times New Roman"/>
          <w:b w:val="false"/>
          <w:i w:val="false"/>
          <w:color w:val="000000"/>
          <w:sz w:val="21"/>
        </w:rPr>
        <w:t>[Filed 7/20/89, Notice 5/31/89—published 8/9/89, effective 9/13/89]</w:t>
      </w:r>
    </w:p>
    <w:p>
      <w:pPr>
        <w:spacing w:before="0" w:after="0"/>
        <w:ind w:left="120"/>
        <w:jc w:val="center"/>
      </w:pPr>
      <w:r>
        <w:rPr>
          <w:rFonts w:ascii="Times New Roman" w:hAnsi="Times New Roman"/>
          <w:b w:val="false"/>
          <w:i w:val="false"/>
          <w:color w:val="000000"/>
          <w:sz w:val="21"/>
        </w:rPr>
        <w:t>[Filed 10/27/89, Notice 8/23/89—published 11/15/89, effective 12/20/89]</w:t>
      </w:r>
    </w:p>
    <w:p>
      <w:pPr>
        <w:spacing w:before="0" w:after="0"/>
        <w:ind w:left="120"/>
        <w:jc w:val="center"/>
      </w:pPr>
      <w:r>
        <w:rPr>
          <w:rFonts w:ascii="Times New Roman" w:hAnsi="Times New Roman"/>
          <w:b w:val="false"/>
          <w:i w:val="false"/>
          <w:color w:val="000000"/>
          <w:sz w:val="21"/>
        </w:rPr>
        <w:t>[Filed 5/25/90, Notice 4/4/90—published 6/13/90, effective 7/18/90]</w:t>
      </w:r>
    </w:p>
    <w:p>
      <w:pPr>
        <w:spacing w:before="0" w:after="0"/>
        <w:ind w:left="120"/>
        <w:jc w:val="center"/>
      </w:pPr>
      <w:r>
        <w:rPr>
          <w:rFonts w:ascii="Times New Roman" w:hAnsi="Times New Roman"/>
          <w:b w:val="false"/>
          <w:i w:val="false"/>
          <w:color w:val="000000"/>
          <w:sz w:val="21"/>
        </w:rPr>
        <w:t>[Filed 12/20/90, Notice 10/31/90—published 1/9/91, effective 2/13/91]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9/23/91, Notice 8/7/91—published 10/16/91, effective 11/20/91]</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9/22/93, Notices 4/14/93, 7/21/93—published 10/13/93, effective 11/17/93]</w:t>
      </w:r>
    </w:p>
    <w:p>
      <w:pPr>
        <w:spacing w:before="0" w:after="0"/>
        <w:ind w:left="120"/>
        <w:jc w:val="center"/>
      </w:pPr>
      <w:r>
        <w:rPr>
          <w:rFonts w:ascii="Times New Roman" w:hAnsi="Times New Roman"/>
          <w:b w:val="false"/>
          <w:i w:val="false"/>
          <w:color w:val="000000"/>
          <w:sz w:val="21"/>
        </w:rPr>
        <w:t>[Filed 11/3/94, Notice 9/14/94—published 11/23/94, effective 12/28/94]</w:t>
      </w:r>
    </w:p>
    <w:p>
      <w:pPr>
        <w:spacing w:before="0" w:after="0"/>
        <w:ind w:left="120"/>
        <w:jc w:val="center"/>
      </w:pPr>
      <w:r>
        <w:rPr>
          <w:rFonts w:ascii="Times New Roman" w:hAnsi="Times New Roman"/>
          <w:b w:val="false"/>
          <w:i w:val="false"/>
          <w:color w:val="000000"/>
          <w:sz w:val="21"/>
        </w:rPr>
        <w:t>[Filed 9/7/95, Notice 7/5/95—published 9/27/95, effective 11/1/95]</w:t>
      </w:r>
    </w:p>
    <w:p>
      <w:pPr>
        <w:spacing w:before="0" w:after="0"/>
        <w:ind w:left="120"/>
        <w:jc w:val="center"/>
      </w:pPr>
      <w:r>
        <w:rPr>
          <w:rFonts w:ascii="Times New Roman" w:hAnsi="Times New Roman"/>
          <w:b w:val="false"/>
          <w:i w:val="false"/>
          <w:color w:val="000000"/>
          <w:sz w:val="21"/>
        </w:rPr>
        <w:t>[Filed 10/16/97, Notice 8/27/97—published 11/5/97, effective 12/10/97]</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9/1/99, Notice 7/28/99—published 9/22/99, effective 10/27/99]</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emergency 7/10/01—published 8/8/01, effective 7/10/01]</w:t>
      </w:r>
    </w:p>
    <w:p>
      <w:pPr>
        <w:spacing w:before="0" w:after="0"/>
        <w:ind w:left="120"/>
        <w:jc w:val="center"/>
      </w:pPr>
      <w:r>
        <w:rPr>
          <w:rFonts w:ascii="Times New Roman" w:hAnsi="Times New Roman"/>
          <w:b w:val="false"/>
          <w:i w:val="false"/>
          <w:color w:val="000000"/>
          <w:sz w:val="21"/>
        </w:rPr>
        <w:t>[Filed 9/26/01, Notice 8/8/01—published 10/17/01, effective 11/21/01]</w:t>
      </w:r>
    </w:p>
    <w:p>
      <w:pPr>
        <w:spacing w:before="0" w:after="0"/>
        <w:ind w:left="120"/>
        <w:jc w:val="center"/>
      </w:pPr>
      <w:r>
        <w:rPr>
          <w:rFonts w:ascii="Times New Roman" w:hAnsi="Times New Roman"/>
          <w:b w:val="false"/>
          <w:i w:val="false"/>
          <w:color w:val="000000"/>
          <w:sz w:val="21"/>
        </w:rPr>
        <w:t>[Filed emergency 6/7/02—published 6/26/02, effective 6/7/02]</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[Editorial correction to 30.4(11) published 6/4/08, effective 7/1/08]</w:t>
      </w:r>
    </w:p>
    <w:p>
      <w:pPr>
        <w:spacing w:before="0" w:after="0"/>
        <w:ind w:left="120"/>
        <w:jc w:val="center"/>
      </w:pPr>
      <w:r>
        <w:rPr>
          <w:rFonts w:ascii="Times New Roman" w:hAnsi="Times New Roman"/>
          <w:b w:val="false"/>
          <w:i w:val="false"/>
          <w:color w:val="000000"/>
          <w:sz w:val="21"/>
        </w:rPr>
        <w:t>[Filed ARC 1190C</w:t>
      </w:r>
      <w:r>
        <w:rPr>
          <w:rFonts w:ascii="Times New Roman" w:hAnsi="Times New Roman"/>
          <w:b w:val="false"/>
          <w:i w:val="false"/>
          <w:color w:val="000000"/>
          <w:sz w:val="21"/>
        </w:rPr>
        <w:t xml:space="preserve"> (Notice ARC 1026C, IAB 9/18/13)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3187C</w:t>
      </w:r>
      <w:r>
        <w:rPr>
          <w:rFonts w:ascii="Times New Roman" w:hAnsi="Times New Roman"/>
          <w:b w:val="false"/>
          <w:i w:val="false"/>
          <w:color w:val="000000"/>
          <w:sz w:val="21"/>
        </w:rPr>
        <w:t xml:space="preserve"> (Notice ARC 3052C,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3768C</w:t>
      </w:r>
      <w:r>
        <w:rPr>
          <w:rFonts w:ascii="Times New Roman" w:hAnsi="Times New Roman"/>
          <w:b w:val="false"/>
          <w:i w:val="false"/>
          <w:color w:val="000000"/>
          <w:sz w:val="21"/>
        </w:rPr>
        <w:t xml:space="preserve"> (Notice ARC 3650C,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4139C</w:t>
      </w:r>
      <w:r>
        <w:rPr>
          <w:rFonts w:ascii="Times New Roman" w:hAnsi="Times New Roman"/>
          <w:b w:val="false"/>
          <w:i w:val="false"/>
          <w:color w:val="000000"/>
          <w:sz w:val="21"/>
        </w:rPr>
        <w:t xml:space="preserve"> (Notice ARC 4026C, IAB 9/26/18)</w:t>
      </w:r>
      <w:r>
        <w:rPr>
          <w:rFonts w:ascii="Times New Roman" w:hAnsi="Times New Roman"/>
          <w:b w:val="false"/>
          <w:i w:val="false"/>
          <w:color w:val="000000"/>
          <w:sz w:val="21"/>
        </w:rPr>
        <w:t>, IAB 11/21/18, effective 1/1/19]</w:t>
      </w:r>
    </w:p>
    <w:p>
      <w:pPr>
        <w:spacing w:before="0" w:after="0"/>
        <w:ind w:left="120"/>
        <w:jc w:val="center"/>
      </w:pPr>
      <w:r>
        <w:rPr>
          <w:rFonts w:ascii="Times New Roman" w:hAnsi="Times New Roman"/>
          <w:b w:val="false"/>
          <w:i w:val="false"/>
          <w:color w:val="000000"/>
          <w:sz w:val="21"/>
        </w:rPr>
        <w:t>[Filed ARC 4731C</w:t>
      </w:r>
      <w:r>
        <w:rPr>
          <w:rFonts w:ascii="Times New Roman" w:hAnsi="Times New Roman"/>
          <w:b w:val="false"/>
          <w:i w:val="false"/>
          <w:color w:val="000000"/>
          <w:sz w:val="21"/>
        </w:rPr>
        <w:t xml:space="preserve"> (Notice ARC 4589C,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5119C</w:t>
      </w:r>
      <w:r>
        <w:rPr>
          <w:rFonts w:ascii="Times New Roman" w:hAnsi="Times New Roman"/>
          <w:b w:val="false"/>
          <w:i w:val="false"/>
          <w:color w:val="000000"/>
          <w:sz w:val="21"/>
        </w:rPr>
        <w:t xml:space="preserve"> (Notice ARC 4923C, IAB 2/12/20)</w:t>
      </w:r>
      <w:r>
        <w:rPr>
          <w:rFonts w:ascii="Times New Roman" w:hAnsi="Times New Roman"/>
          <w:b w:val="false"/>
          <w:i w:val="false"/>
          <w:color w:val="000000"/>
          <w:sz w:val="21"/>
        </w:rPr>
        <w:t>, IAB 7/29/20, effective 9/2/20]</w:t>
      </w:r>
    </w:p>
    <w:p>
      <w:pPr>
        <w:spacing w:before="0" w:after="0"/>
        <w:ind w:left="120"/>
        <w:jc w:val="center"/>
      </w:pPr>
      <w:r>
        <w:rPr>
          <w:rFonts w:ascii="Times New Roman" w:hAnsi="Times New Roman"/>
          <w:b w:val="false"/>
          <w:i w:val="false"/>
          <w:color w:val="000000"/>
          <w:sz w:val="21"/>
        </w:rPr>
        <w:t>[Filed ARC 5353C</w:t>
      </w:r>
      <w:r>
        <w:rPr>
          <w:rFonts w:ascii="Times New Roman" w:hAnsi="Times New Roman"/>
          <w:b w:val="false"/>
          <w:i w:val="false"/>
          <w:color w:val="000000"/>
          <w:sz w:val="21"/>
        </w:rPr>
        <w:t xml:space="preserve"> (Notice ARC 5262C, IAB 11/4/20)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5354C</w:t>
      </w:r>
      <w:r>
        <w:rPr>
          <w:rFonts w:ascii="Times New Roman" w:hAnsi="Times New Roman"/>
          <w:b w:val="false"/>
          <w:i w:val="false"/>
          <w:color w:val="000000"/>
          <w:sz w:val="21"/>
        </w:rPr>
        <w:t xml:space="preserve"> (Notice ARC 5263C, IAB 11/4/20)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5843C</w:t>
      </w:r>
      <w:r>
        <w:rPr>
          <w:rFonts w:ascii="Times New Roman" w:hAnsi="Times New Roman"/>
          <w:b w:val="false"/>
          <w:i w:val="false"/>
          <w:color w:val="000000"/>
          <w:sz w:val="21"/>
        </w:rPr>
        <w:t xml:space="preserve"> (Notice ARC 5701C, IAB 6/16/21)</w:t>
      </w:r>
      <w:r>
        <w:rPr>
          <w:rFonts w:ascii="Times New Roman" w:hAnsi="Times New Roman"/>
          <w:b w:val="false"/>
          <w:i w:val="false"/>
          <w:color w:val="000000"/>
          <w:sz w:val="21"/>
        </w:rPr>
        <w:t>, IAB 8/11/21, effective 9/15/21]</w:t>
      </w:r>
      <w:r>
        <w:br/>
      </w:r>
      <w:r>
        <w:rPr>
          <w:rFonts w:ascii="Times New Roman" w:hAnsi="Times New Roman"/>
          <w:b w:val="false"/>
          <w:i w:val="false"/>
          <w:color w:val="000000"/>
          <w:sz w:val="21"/>
        </w:rPr>
        <w:t>[Filed ARC 5845C</w:t>
      </w:r>
      <w:r>
        <w:rPr>
          <w:rFonts w:ascii="Times New Roman" w:hAnsi="Times New Roman"/>
          <w:b w:val="false"/>
          <w:i w:val="false"/>
          <w:color w:val="000000"/>
          <w:sz w:val="21"/>
        </w:rPr>
        <w:t xml:space="preserve"> (Notice ARC 5703C,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6568C</w:t>
      </w:r>
      <w:r>
        <w:rPr>
          <w:rFonts w:ascii="Times New Roman" w:hAnsi="Times New Roman"/>
          <w:b w:val="false"/>
          <w:i w:val="false"/>
          <w:color w:val="000000"/>
          <w:sz w:val="21"/>
        </w:rPr>
        <w:t xml:space="preserve"> (Notice ARC 6455C,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6859C</w:t>
      </w:r>
      <w:r>
        <w:rPr>
          <w:rFonts w:ascii="Times New Roman" w:hAnsi="Times New Roman"/>
          <w:b w:val="false"/>
          <w:i w:val="false"/>
          <w:color w:val="000000"/>
          <w:sz w:val="21"/>
        </w:rPr>
        <w:t xml:space="preserve"> (Notice ARC 6744C,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0.pdf" Type="http://schemas.openxmlformats.org/officeDocument/2006/relationships/hyperlink" Id="rId5"/>
    <Relationship TargetMode="External" Target="https://www.legis.iowa.gov/docs/iac/chapter/481.103.pdf" Type="http://schemas.openxmlformats.org/officeDocument/2006/relationships/hyperlink" Id="rId6"/>
    <Relationship TargetMode="External" Target="https://www.legis.iowa.gov/docs/iac/chapter/481.106.pdf" Type="http://schemas.openxmlformats.org/officeDocument/2006/relationships/hyperlink" Id="rId7"/>
    <Relationship TargetMode="External" Target="https://www.legis.iowa.gov/docs/iac/chapter/481.107.pdf" Type="http://schemas.openxmlformats.org/officeDocument/2006/relationships/hyperlink" Id="rId8"/>
    <Relationship TargetMode="External" Target="https://www.legis.iowa.gov/docs/iac/chapter/481.104.pdf" Type="http://schemas.openxmlformats.org/officeDocument/2006/relationships/hyperlink" Id="rId9"/>
    <Relationship TargetMode="External" Target="https://www.legis.iowa.gov/docs/iac/chapter/481.105.pdf" Type="http://schemas.openxmlformats.org/officeDocument/2006/relationships/hyperlink" Id="rId10"/>
    <Relationship TargetMode="External" Target="https://www.legis.iowa.gov/docs/ico/chapter/10A.104.pdf" Type="http://schemas.openxmlformats.org/officeDocument/2006/relationships/hyperlink" Id="rId11"/>
    <Relationship TargetMode="External" Target="https://www.legis.iowa.gov/docs/ico/chapter/22.11.pdf" Type="http://schemas.openxmlformats.org/officeDocument/2006/relationships/hyperlink" Id="rId12"/>
    <Relationship TargetMode="External" Target="https://www.legis.iowa.gov/docs/ico/chapter/137C.pdf" Type="http://schemas.openxmlformats.org/officeDocument/2006/relationships/hyperlink" Id="rId13"/>
    <Relationship TargetMode="External" Target="https://www.legis.iowa.gov/docs/ico/chapter/137F.pdf" Type="http://schemas.openxmlformats.org/officeDocument/2006/relationships/hyperlink" Id="rId14"/>
    <Relationship TargetMode="External" Target="https://www.legis.iowa.gov/docs/iac/rule/481.30.2.pdf" Type="http://schemas.openxmlformats.org/officeDocument/2006/relationships/hyperlink" Id="rId15"/>
    <Relationship TargetMode="External" Target="https://www.legis.iowa.gov/docs/iac/rule/481.30.2.pdf" Type="http://schemas.openxmlformats.org/officeDocument/2006/relationships/hyperlink" Id="rId16"/>
    <Relationship TargetMode="External" Target="https://www.legis.iowa.gov/docs/ico/chapter/137C.2.pdf" Type="http://schemas.openxmlformats.org/officeDocument/2006/relationships/hyperlink" Id="rId17"/>
    <Relationship TargetMode="External" Target="https://www.legis.iowa.gov/docs/ico/chapter/137C.pdf" Type="http://schemas.openxmlformats.org/officeDocument/2006/relationships/hyperlink" Id="rId18"/>
    <Relationship TargetMode="External" Target="https://www.legis.iowa.gov/docs/ico/chapter/137F.pdf" Type="http://schemas.openxmlformats.org/officeDocument/2006/relationships/hyperlink" Id="rId19"/>
    <Relationship TargetMode="External" Target="https://www.legis.iowa.gov/docs/ico/chapter/192.pdf" Type="http://schemas.openxmlformats.org/officeDocument/2006/relationships/hyperlink" Id="rId20"/>
    <Relationship TargetMode="External" Target="https://www.legis.iowa.gov/docs/ico/chapter/194.pdf" Type="http://schemas.openxmlformats.org/officeDocument/2006/relationships/hyperlink" Id="rId21"/>
    <Relationship TargetMode="External" Target="https://www.legis.iowa.gov/docs/ico/chapter/189A.pdf" Type="http://schemas.openxmlformats.org/officeDocument/2006/relationships/hyperlink" Id="rId22"/>
    <Relationship TargetMode="External" Target="https://www.legis.iowa.gov/docs/ico/chapter/701.2.pdf" Type="http://schemas.openxmlformats.org/officeDocument/2006/relationships/hyperlink" Id="rId23"/>
    <Relationship TargetMode="External" Target="https://www.legis.iowa.gov/docs/iac/rule/481.31.1.pdf" Type="http://schemas.openxmlformats.org/officeDocument/2006/relationships/hyperlink" Id="rId24"/>
    <Relationship TargetMode="External" Target="https://www.legis.iowa.gov/docs/ico/chapter/137F.2.pdf" Type="http://schemas.openxmlformats.org/officeDocument/2006/relationships/hyperlink" Id="rId25"/>
    <Relationship TargetMode="External" Target="https://www.legis.iowa.gov/docs/iac/rule/481.69.28.pdf" Type="http://schemas.openxmlformats.org/officeDocument/2006/relationships/hyperlink" Id="rId26"/>
    <Relationship TargetMode="External" Target="https://www.legis.iowa.gov/docs/iac/rule/481.70.28.pdf" Type="http://schemas.openxmlformats.org/officeDocument/2006/relationships/hyperlink" Id="rId27"/>
    <Relationship TargetMode="External" Target="https://www.legis.iowa.gov/docs/ico/chapter/137D.pdf" Type="http://schemas.openxmlformats.org/officeDocument/2006/relationships/hyperlink" Id="rId28"/>
    <Relationship TargetMode="External" Target="https://www.legis.iowa.gov/docs/ico/chapter/189A.3.pdf" Type="http://schemas.openxmlformats.org/officeDocument/2006/relationships/hyperlink" Id="rId29"/>
    <Relationship TargetMode="External" Target="https://www.legis.iowa.gov/docs/ico/chapter/123.pdf" Type="http://schemas.openxmlformats.org/officeDocument/2006/relationships/hyperlink" Id="rId30"/>
    <Relationship TargetMode="External" Target="https://www.legis.iowa.gov/docs/ico/chapter/123.pdf" Type="http://schemas.openxmlformats.org/officeDocument/2006/relationships/hyperlink" Id="rId31"/>
    <Relationship TargetMode="External" Target="https://www.legis.iowa.gov/docs/ico/chapter/123.pdf" Type="http://schemas.openxmlformats.org/officeDocument/2006/relationships/hyperlink" Id="rId32"/>
    <Relationship TargetMode="External" Target="https://www.legis.iowa.gov/docs/ico/chapter/192.107.pdf" Type="http://schemas.openxmlformats.org/officeDocument/2006/relationships/hyperlink" Id="rId33"/>
    <Relationship TargetMode="External" Target="https://www.legis.iowa.gov/docs/ico/chapter/194.1.pdf" Type="http://schemas.openxmlformats.org/officeDocument/2006/relationships/hyperlink" Id="rId34"/>
    <Relationship TargetMode="External" Target="https://www.legis.iowa.gov/docs/ico/chapter/196.3.pdf" Type="http://schemas.openxmlformats.org/officeDocument/2006/relationships/hyperlink" Id="rId35"/>
    <Relationship TargetMode="External" Target="https://www.legis.iowa.gov/docs/ico/chapter/123.pdf" Type="http://schemas.openxmlformats.org/officeDocument/2006/relationships/hyperlink" Id="rId36"/>
    <Relationship TargetMode="External" Target="https://www.legis.iowa.gov/docs/ico/chapter/123.pdf" Type="http://schemas.openxmlformats.org/officeDocument/2006/relationships/hyperlink" Id="rId37"/>
    <Relationship TargetMode="External" Target="https://www.legis.iowa.gov/docs/ico/chapter/123.pdf" Type="http://schemas.openxmlformats.org/officeDocument/2006/relationships/hyperlink" Id="rId38"/>
    <Relationship TargetMode="External" Target="https://www.legis.iowa.gov/docs/ico/chapter/189A.3.pdf" Type="http://schemas.openxmlformats.org/officeDocument/2006/relationships/hyperlink" Id="rId39"/>
    <Relationship TargetMode="External" Target="https://www.legis.iowa.gov/docs/ico/chapter/192.107.pdf" Type="http://schemas.openxmlformats.org/officeDocument/2006/relationships/hyperlink" Id="rId40"/>
    <Relationship TargetMode="External" Target="https://www.legis.iowa.gov/docs/ico/chapter/194.1.pdf" Type="http://schemas.openxmlformats.org/officeDocument/2006/relationships/hyperlink" Id="rId41"/>
    <Relationship TargetMode="External" Target="https://www.legis.iowa.gov/docs/ico/chapter/196.3.pdf" Type="http://schemas.openxmlformats.org/officeDocument/2006/relationships/hyperlink" Id="rId42"/>
    <Relationship TargetMode="External" Target="https://www.legis.iowa.gov/docs/ico/chapter/137D.pdf" Type="http://schemas.openxmlformats.org/officeDocument/2006/relationships/hyperlink" Id="rId43"/>
    <Relationship TargetMode="External" Target="https://www.legis.iowa.gov/docs/ico/chapter/423.3.pdf" Type="http://schemas.openxmlformats.org/officeDocument/2006/relationships/hyperlink" Id="rId44"/>
    <Relationship TargetMode="External" Target="https://www.legis.iowa.gov/docs/ico/chapter/137C.2.pdf" Type="http://schemas.openxmlformats.org/officeDocument/2006/relationships/hyperlink" Id="rId45"/>
    <Relationship TargetMode="External" Target="https://www.legis.iowa.gov/docs/ico/chapter/137C.pdf" Type="http://schemas.openxmlformats.org/officeDocument/2006/relationships/hyperlink" Id="rId46"/>
    <Relationship TargetMode="External" Target="https://www.legis.iowa.gov/docs/ico/chapter/137F.pdf" Type="http://schemas.openxmlformats.org/officeDocument/2006/relationships/hyperlink" Id="rId47"/>
    <Relationship TargetMode="External" Target="https://www.legis.iowa.gov/docs/ico/chapter/137C.pdf" Type="http://schemas.openxmlformats.org/officeDocument/2006/relationships/hyperlink" Id="rId48"/>
    <Relationship TargetMode="External" Target="https://www.legis.iowa.gov/docs/ico/chapter/137F.pdf" Type="http://schemas.openxmlformats.org/officeDocument/2006/relationships/hyperlink" Id="rId49"/>
    <Relationship TargetMode="External" Target="https://www.legis.iowa.gov/docs/ico/chapter/137C.pdf" Type="http://schemas.openxmlformats.org/officeDocument/2006/relationships/hyperlink" Id="rId50"/>
    <Relationship TargetMode="External" Target="https://www.legis.iowa.gov/docs/ico/chapter/137F.pdf" Type="http://schemas.openxmlformats.org/officeDocument/2006/relationships/hyperlink" Id="rId51"/>
    <Relationship TargetMode="External" Target="https://www.legis.iowa.gov/docs/ico/chapter/10A.104.pdf" Type="http://schemas.openxmlformats.org/officeDocument/2006/relationships/hyperlink" Id="rId52"/>
    <Relationship TargetMode="External" Target="https://www.legis.iowa.gov/docs/ico/chapter/137C.8.pdf" Type="http://schemas.openxmlformats.org/officeDocument/2006/relationships/hyperlink" Id="rId53"/>
    <Relationship TargetMode="External" Target="https://www.legis.iowa.gov/docs/ico/chapter/137F.pdf" Type="http://schemas.openxmlformats.org/officeDocument/2006/relationships/hyperlink" Id="rId54"/>
    <Relationship TargetMode="External" Target="https://www.legis.iowa.gov/docs/iac/rule/481.30.2.pdf" Type="http://schemas.openxmlformats.org/officeDocument/2006/relationships/hyperlink" Id="rId55"/>
    <Relationship TargetMode="External" Target="https://www.legis.iowa.gov/docs/ico/chapter/137F.pdf" Type="http://schemas.openxmlformats.org/officeDocument/2006/relationships/hyperlink" Id="rId56"/>
    <Relationship TargetMode="External" Target="https://www.legis.iowa.gov/docs/iac/rule/481.30.4.pdf" Type="http://schemas.openxmlformats.org/officeDocument/2006/relationships/hyperlink" Id="rId57"/>
    <Relationship TargetMode="External" Target="https://www.legis.iowa.gov/docs/ico/chapter/10A.104.pdf" Type="http://schemas.openxmlformats.org/officeDocument/2006/relationships/hyperlink" Id="rId58"/>
    <Relationship TargetMode="External" Target="https://www.legis.iowa.gov/docs/ico/chapter/137C.8.pdf" Type="http://schemas.openxmlformats.org/officeDocument/2006/relationships/hyperlink" Id="rId59"/>
    <Relationship TargetMode="External" Target="https://www.legis.iowa.gov/docs/ico/chapter/137F.pdf" Type="http://schemas.openxmlformats.org/officeDocument/2006/relationships/hyperlink" Id="rId60"/>
    <Relationship TargetMode="External" Target="https://www.legis.iowa.gov/docs/ico/chapter/137F.6.pdf" Type="http://schemas.openxmlformats.org/officeDocument/2006/relationships/hyperlink" Id="rId61"/>
    <Relationship TargetMode="External" Target="https://www.legis.iowa.gov/docs/ico/chapter/137F.6.pdf" Type="http://schemas.openxmlformats.org/officeDocument/2006/relationships/hyperlink" Id="rId62"/>
    <Relationship TargetMode="External" Target="https://www.legis.iowa.gov/docs/ico/chapter/423.3.pdf" Type="http://schemas.openxmlformats.org/officeDocument/2006/relationships/hyperlink" Id="rId63"/>
    <Relationship TargetMode="External" Target="https://www.legis.iowa.gov/docs/ico/chapter/137F.6.pdf" Type="http://schemas.openxmlformats.org/officeDocument/2006/relationships/hyperlink" Id="rId64"/>
    <Relationship TargetMode="External" Target="https://www.legis.iowa.gov/docs/ico/chapter/137C.9.pdf" Type="http://schemas.openxmlformats.org/officeDocument/2006/relationships/hyperlink" Id="rId65"/>
    <Relationship TargetMode="External" Target="https://www.legis.iowa.gov/docs/ico/chapter/137F.6.pdf" Type="http://schemas.openxmlformats.org/officeDocument/2006/relationships/hyperlink" Id="rId66"/>
    <Relationship TargetMode="External" Target="https://www.legis.iowa.gov/docs/ico/chapter/137F.6.pdf" Type="http://schemas.openxmlformats.org/officeDocument/2006/relationships/hyperlink" Id="rId67"/>
    <Relationship TargetMode="External" Target="https://www.legis.iowa.gov/docs/ico/chapter/137F.6.pdf" Type="http://schemas.openxmlformats.org/officeDocument/2006/relationships/hyperlink" Id="rId68"/>
    <Relationship TargetMode="External" Target="https://www.legis.iowa.gov/docs/ico/chapter/137F.6.pdf" Type="http://schemas.openxmlformats.org/officeDocument/2006/relationships/hyperlink" Id="rId69"/>
    <Relationship TargetMode="External" Target="https://www.legis.iowa.gov/docs/ico/chapter/137F.6.pdf" Type="http://schemas.openxmlformats.org/officeDocument/2006/relationships/hyperlink" Id="rId70"/>
    <Relationship TargetMode="External" Target="https://www.legis.iowa.gov/docs/ico/chapter/174.1.pdf" Type="http://schemas.openxmlformats.org/officeDocument/2006/relationships/hyperlink" Id="rId71"/>
    <Relationship TargetMode="External" Target="https://www.legis.iowa.gov/docs/ico/chapter/137C.9.pdf" Type="http://schemas.openxmlformats.org/officeDocument/2006/relationships/hyperlink" Id="rId72"/>
    <Relationship TargetMode="External" Target="https://www.legis.iowa.gov/docs/ico/chapter/137F.6.pdf" Type="http://schemas.openxmlformats.org/officeDocument/2006/relationships/hyperlink" Id="rId73"/>
    <Relationship TargetMode="External" Target="https://www.legis.iowa.gov/docs/ico/chapter/137F.pdf" Type="http://schemas.openxmlformats.org/officeDocument/2006/relationships/hyperlink" Id="rId74"/>
    <Relationship TargetMode="External" Target="https://www.legis.iowa.gov/docs/iac/rule/481.30.11.pdf" Type="http://schemas.openxmlformats.org/officeDocument/2006/relationships/hyperlink" Id="rId75"/>
    <Relationship TargetMode="External" Target="https://www.legis.iowa.gov/docs/ico/chapter/137F.4.pdf" Type="http://schemas.openxmlformats.org/officeDocument/2006/relationships/hyperlink" Id="rId76"/>
    <Relationship TargetMode="External" Target="https://www.legis.iowa.gov/docs/ico/chapter/137F.9.pdf" Type="http://schemas.openxmlformats.org/officeDocument/2006/relationships/hyperlink" Id="rId77"/>
    <Relationship TargetMode="External" Target="https://www.legis.iowa.gov/docs/ico/chapter/137F.17.pdf" Type="http://schemas.openxmlformats.org/officeDocument/2006/relationships/hyperlink" Id="rId78"/>
    <Relationship TargetMode="External" Target="https://www.legis.iowa.gov/docs/ico/chapter/137C.pdf" Type="http://schemas.openxmlformats.org/officeDocument/2006/relationships/hyperlink" Id="rId79"/>
    <Relationship TargetMode="External" Target="https://www.legis.iowa.gov/docs/ico/chapter/137F.pdf" Type="http://schemas.openxmlformats.org/officeDocument/2006/relationships/hyperlink" Id="rId80"/>
    <Relationship TargetMode="External" Target="https://www.legis.iowa.gov/docs/iac/rule/481.30.5.pdf" Type="http://schemas.openxmlformats.org/officeDocument/2006/relationships/hyperlink" Id="rId81"/>
    <Relationship TargetMode="External" Target="https://www.legis.iowa.gov/docs/ico/chapter/137C.9.pdf" Type="http://schemas.openxmlformats.org/officeDocument/2006/relationships/hyperlink" Id="rId82"/>
    <Relationship TargetMode="External" Target="https://www.legis.iowa.gov/docs/ico/chapter/137F.6.pdf" Type="http://schemas.openxmlformats.org/officeDocument/2006/relationships/hyperlink" Id="rId83"/>
    <Relationship TargetMode="External" Target="https://www.legis.iowa.gov/docs/iac/rule/481.30.4.pdf" Type="http://schemas.openxmlformats.org/officeDocument/2006/relationships/hyperlink" Id="rId84"/>
    <Relationship TargetMode="External" Target="https://www.legis.iowa.gov/docs/iac/rule/481.30.7.pdf" Type="http://schemas.openxmlformats.org/officeDocument/2006/relationships/hyperlink" Id="rId85"/>
    <Relationship TargetMode="External" Target="https://www.legis.iowa.gov/docs/ico/chapter/10A.104.pdf" Type="http://schemas.openxmlformats.org/officeDocument/2006/relationships/hyperlink" Id="rId86"/>
    <Relationship TargetMode="External" Target="https://www.legis.iowa.gov/docs/ico/chapter/137F.6.pdf" Type="http://schemas.openxmlformats.org/officeDocument/2006/relationships/hyperlink" Id="rId87"/>
    <Relationship TargetMode="External" Target="https://www.legis.iowa.gov/docs/ico/chapter/137C.pdf" Type="http://schemas.openxmlformats.org/officeDocument/2006/relationships/hyperlink" Id="rId88"/>
    <Relationship TargetMode="External" Target="https://www.legis.iowa.gov/docs/iac/rule/481.30.4.pdf" Type="http://schemas.openxmlformats.org/officeDocument/2006/relationships/hyperlink" Id="rId89"/>
    <Relationship TargetMode="External" Target="https://www.legis.iowa.gov/docs/ico/chapter/137C.11.pdf" Type="http://schemas.openxmlformats.org/officeDocument/2006/relationships/hyperlink" Id="rId90"/>
    <Relationship TargetMode="External" Target="https://www.legis.iowa.gov/docs/ico/chapter/137F.10.pdf" Type="http://schemas.openxmlformats.org/officeDocument/2006/relationships/hyperlink" Id="rId91"/>
    <Relationship TargetMode="External" Target="http://www.food.dia.iowa.gov" Type="http://schemas.openxmlformats.org/officeDocument/2006/relationships/hyperlink" Id="rId92"/>
    <Relationship TargetMode="External" Target="https://www.legis.iowa.gov/docs/ico/chapter/137C.pdf" Type="http://schemas.openxmlformats.org/officeDocument/2006/relationships/hyperlink" Id="rId93"/>
    <Relationship TargetMode="External" Target="https://www.legis.iowa.gov/docs/ico/chapter/137F.pdf" Type="http://schemas.openxmlformats.org/officeDocument/2006/relationships/hyperlink" Id="rId94"/>
    <Relationship TargetMode="External" Target="https://www.legis.iowa.gov/docs/ico/chapter/22.pdf" Type="http://schemas.openxmlformats.org/officeDocument/2006/relationships/hyperlink" Id="rId95"/>
    <Relationship TargetMode="External" Target="https://www.legis.iowa.gov/docs/ico/chapter/17A.pdf" Type="http://schemas.openxmlformats.org/officeDocument/2006/relationships/hyperlink" Id="rId96"/>
    <Relationship TargetMode="External" Target="https://www.legis.iowa.gov/docs/ico/chapter/137C.pdf" Type="http://schemas.openxmlformats.org/officeDocument/2006/relationships/hyperlink" Id="rId97"/>
    <Relationship TargetMode="External" Target="https://www.legis.iowa.gov/docs/ico/chapter/137F.pdf" Type="http://schemas.openxmlformats.org/officeDocument/2006/relationships/hyperlink" Id="rId98"/>
    <Relationship TargetMode="External" Target="https://www.legis.iowa.gov/docs/ico/chapter/17A.18A.pdf" Type="http://schemas.openxmlformats.org/officeDocument/2006/relationships/hyperlink" Id="rId99"/>
    <Relationship TargetMode="External" Target="https://www.legis.iowa.gov/docs/iac/rule/481.30.11.pdf" Type="http://schemas.openxmlformats.org/officeDocument/2006/relationships/hyperlink" Id="rId100"/>
    <Relationship TargetMode="External" Target="https://www.legis.iowa.gov/docs/ico/chapter/17A.18A.pdf" Type="http://schemas.openxmlformats.org/officeDocument/2006/relationships/hyperlink" Id="rId101"/>
    <Relationship TargetMode="External" Target="https://www.legis.iowa.gov/docs/iac/rule/481.30.11.pdf" Type="http://schemas.openxmlformats.org/officeDocument/2006/relationships/hyperlink" Id="rId102"/>
    <Relationship TargetMode="External" Target="https://www.legis.iowa.gov/docs/ico/chapter/17A.pdf" Type="http://schemas.openxmlformats.org/officeDocument/2006/relationships/hyperlink" Id="rId103"/>
    <Relationship TargetMode="External" Target="https://www.legis.iowa.gov/docs/ico/chapter/137C.pdf" Type="http://schemas.openxmlformats.org/officeDocument/2006/relationships/hyperlink" Id="rId104"/>
    <Relationship TargetMode="External" Target="https://www.legis.iowa.gov/docs/ico/chapter/137F.pdf" Type="http://schemas.openxmlformats.org/officeDocument/2006/relationships/hyperlink" Id="rId105"/>
    <Relationship TargetMode="External" Target="https://www.legis.iowa.gov/docs/iac/chapter/481.9.pdf" Type="http://schemas.openxmlformats.org/officeDocument/2006/relationships/hyperlink" Id="rId106"/>
    <Relationship TargetMode="External" Target="https://www.legis.iowa.gov/docs/iac/rule/481.9.3.pdf" Type="http://schemas.openxmlformats.org/officeDocument/2006/relationships/hyperlink" Id="rId107"/>
    <Relationship TargetMode="External" Target="https://www.legis.iowa.gov/docs/ico/chapter/10A.104.pdf" Type="http://schemas.openxmlformats.org/officeDocument/2006/relationships/hyperlink" Id="rId108"/>
    <Relationship TargetMode="External" Target="https://www.legis.iowa.gov/docs/ico/chapter/137C.pdf" Type="http://schemas.openxmlformats.org/officeDocument/2006/relationships/hyperlink" Id="rId109"/>
    <Relationship TargetMode="External" Target="https://www.legis.iowa.gov/docs/ico/chapter/137F.pdf" Type="http://schemas.openxmlformats.org/officeDocument/2006/relationships/hyperlink" Id="rId110"/>
    <Relationship TargetMode="External" Target="https://www.legis.iowa.gov/docs/ico/chapter/263.7.pdf" Type="http://schemas.openxmlformats.org/officeDocument/2006/relationships/hyperlink" Id="rId111"/>
    <Relationship TargetMode="External" Target="https://www.legis.iowa.gov/docs/ico/chapter/10A.104.pdf" Type="http://schemas.openxmlformats.org/officeDocument/2006/relationships/hyperlink" Id="rId112"/>
    <Relationship TargetMode="External" Target="https://www.legis.iowa.gov/docs/ico/chapter/22.11.pdf" Type="http://schemas.openxmlformats.org/officeDocument/2006/relationships/hyperlink" Id="rId113"/>
    <Relationship TargetMode="External" Target="https://www.legis.iowa.gov/docs/ico/chapter/137C.pdf" Type="http://schemas.openxmlformats.org/officeDocument/2006/relationships/hyperlink" Id="rId114"/>
    <Relationship TargetMode="External" Target="https://www.legis.iowa.gov/docs/ico/chapter/137D.pdf" Type="http://schemas.openxmlformats.org/officeDocument/2006/relationships/hyperlink" Id="rId115"/>
    <Relationship TargetMode="External" Target="https://www.legis.iowa.gov/docs/ico/chapter/137F.pdf" Type="http://schemas.openxmlformats.org/officeDocument/2006/relationships/hyperlink" Id="rId116"/>
    <Relationship TargetMode="External" Target="https://www.legis.iowa.gov/docs/ico/chapter/192.pdf" Type="http://schemas.openxmlformats.org/officeDocument/2006/relationships/hyperlink" Id="rId117"/>
    <Relationship TargetMode="External" Target="https://www.legis.iowa.gov/docs/ico/chapter/194.pdf" Type="http://schemas.openxmlformats.org/officeDocument/2006/relationships/hyperlink" Id="rId118"/>
    <Relationship TargetMode="External" Target="https://www.legis.iowa.gov/docs/ico/chapter/189A.pdf" Type="http://schemas.openxmlformats.org/officeDocument/2006/relationships/hyperlink" Id="rId119"/>
    <Relationship TargetMode="External" Target="https://www.legis.iowa.gov/docs/iac/rule/481.30.13.pdf" Type="http://schemas.openxmlformats.org/officeDocument/2006/relationships/hyperlink" Id="rId120"/>
    <Relationship TargetMode="External" Target="https://www.legis.iowa.gov/docs/ico/chapter/137F.pdf" Type="http://schemas.openxmlformats.org/officeDocument/2006/relationships/hyperlink" Id="rId1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