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CERTIFICATE OF NEED PROGRAM</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2202</w:t>
      </w:r>
    </w:p>
    <w:p>
      <w:pPr>
        <w:spacing w:before="0" w:after="0"/>
        <w:ind w:left="120"/>
        <w:jc w:val="center"/>
      </w:pPr>
      <w:r>
        <w:rPr>
          <w:rFonts w:ascii="Times New Roman" w:hAnsi="Times New Roman"/>
          <w:b w:val="false"/>
          <w:i w:val="false"/>
          <w:color w:val="000000"/>
          <w:sz w:val="21"/>
        </w:rPr>
        <w:t>CERTIFICATE OF NEED PROGRAM</w:t>
      </w:r>
    </w:p>
    <w:p>
      <w:pPr>
        <w:spacing w:before="0" w:after="0"/>
        <w:ind w:left="120"/>
        <w:jc w:val="center"/>
      </w:pPr>
      <w:r>
        <w:rPr>
          <w:rFonts w:ascii="Times New Roman" w:hAnsi="Times New Roman"/>
          <w:b w:val="false"/>
          <w:i w:val="false"/>
          <w:color w:val="000000"/>
          <w:sz w:val="14"/>
        </w:rPr>
        <w:t>[Prior to 7/29/87, Health Department[470] Ch 202]</w:t>
      </w:r>
    </w:p>
    <w:p>
      <w:pPr>
        <w:spacing w:before="0" w:after="0"/>
        <w:ind w:left="120"/>
        <w:jc w:val="center"/>
      </w:pPr>
      <w:r>
        <w:rPr>
          <w:rFonts w:ascii="Times New Roman" w:hAnsi="Times New Roman"/>
          <w:b w:val="false"/>
          <w:i w:val="false"/>
          <w:color w:val="000000"/>
          <w:sz w:val="14"/>
        </w:rPr>
        <w:t>[Prior to 9/4/24, see Public Health Department[641] Ch 202]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481—2202.1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care category of bed usage,” </w:t>
      </w:r>
      <w:r>
        <w:rPr>
          <w:rFonts w:ascii="Times New Roman" w:hAnsi="Times New Roman"/>
          <w:b w:val="false"/>
          <w:i w:val="false"/>
          <w:color w:val="000000"/>
          <w:sz w:val="22"/>
        </w:rPr>
        <w:t xml:space="preserve">as the term applies in Iowa Code section </w:t>
      </w:r>
      <w:hyperlink r:id="rId5">
        <w:r>
          <w:rPr>
            <w:rStyle w:val="Hyperlink"/>
            <w:rFonts w:ascii="Times New Roman" w:hAnsi="Times New Roman"/>
            <w:b w:val="false"/>
            <w:i w:val="false"/>
            <w:color w:val="000000"/>
            <w:sz w:val="22"/>
          </w:rPr>
          <w:t>10A.713(2)</w:t>
        </w:r>
      </w:hyperlink>
      <w:r>
        <w:rPr>
          <w:rFonts w:ascii="Times New Roman" w:hAnsi="Times New Roman"/>
          <w:b w:val="false"/>
          <w:i/>
          <w:color w:val="000000"/>
          <w:sz w:val="22"/>
        </w:rPr>
        <w:t>“k,”</w:t>
      </w:r>
      <w:r>
        <w:rPr>
          <w:rFonts w:ascii="Times New Roman" w:hAnsi="Times New Roman"/>
          <w:b w:val="false"/>
          <w:i w:val="false"/>
          <w:color w:val="000000"/>
          <w:sz w:val="22"/>
        </w:rPr>
        <w:t xml:space="preserve"> is the same as the acute care categories listed in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expenditure in excess of five hundred thousand dollars,” </w:t>
      </w:r>
      <w:r>
        <w:rPr>
          <w:rFonts w:ascii="Times New Roman" w:hAnsi="Times New Roman"/>
          <w:b w:val="false"/>
          <w:i w:val="false"/>
          <w:color w:val="000000"/>
          <w:sz w:val="22"/>
        </w:rPr>
        <w:t xml:space="preserve">as defined in Iowa Code section </w:t>
      </w:r>
      <w:hyperlink r:id="rId6">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“e,”</w:t>
      </w:r>
      <w:r>
        <w:rPr>
          <w:rFonts w:ascii="Times New Roman" w:hAnsi="Times New Roman"/>
          <w:b w:val="false"/>
          <w:i w:val="false"/>
          <w:color w:val="000000"/>
          <w:sz w:val="22"/>
        </w:rPr>
        <w:t xml:space="preserve"> means new capital expenditures necessary to operate the service for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mobile health service with a value in excess of one million five hundred thousand dollars,” </w:t>
      </w:r>
      <w:r>
        <w:rPr>
          <w:rFonts w:ascii="Times New Roman" w:hAnsi="Times New Roman"/>
          <w:b w:val="false"/>
          <w:i w:val="false"/>
          <w:color w:val="000000"/>
          <w:sz w:val="22"/>
        </w:rPr>
        <w:t xml:space="preserve">as defined in Iowa Code section </w:t>
      </w:r>
      <w:hyperlink r:id="rId7">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“l,”</w:t>
      </w:r>
      <w:r>
        <w:rPr>
          <w:rFonts w:ascii="Times New Roman" w:hAnsi="Times New Roman"/>
          <w:b w:val="false"/>
          <w:i w:val="false"/>
          <w:color w:val="000000"/>
          <w:sz w:val="22"/>
        </w:rPr>
        <w:t xml:space="preserve"> means the value of all equipment used to provide the service, including the trailer. The party providing the equipment is the applicant regardless of the location of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geographic service area,” </w:t>
      </w:r>
      <w:r>
        <w:rPr>
          <w:rFonts w:ascii="Times New Roman" w:hAnsi="Times New Roman"/>
          <w:b w:val="false"/>
          <w:i w:val="false"/>
          <w:color w:val="000000"/>
          <w:sz w:val="22"/>
        </w:rPr>
        <w:t xml:space="preserve">as the term applies to defining affected persons in Iowa Code section </w:t>
      </w:r>
      <w:hyperlink r:id="rId8">
        <w:r>
          <w:rPr>
            <w:rStyle w:val="Hyperlink"/>
            <w:rFonts w:ascii="Times New Roman" w:hAnsi="Times New Roman"/>
            <w:b w:val="false"/>
            <w:i w:val="false"/>
            <w:color w:val="000000"/>
            <w:sz w:val="22"/>
          </w:rPr>
          <w:t>10A.711(1)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applications regarding hospitals, hospitals located in the same county and in Iowa counties contiguous to the county wherein the applicant hospital’s proposed project will be located.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applications regarding health care facilities, other health care facilities located in the same county and in Iowa counties contiguous to the county wherein the applicant’s proposed health care facility will be located.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applications sponsored by other than the hospitals or health care facilities specified in paragraphs “1” and “2,” those providers within the same county who offer similar service or might logically be viewed as potential providers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“Bed capacity” </w:t>
      </w:r>
      <w:r>
        <w:rPr>
          <w:rFonts w:ascii="Times New Roman" w:hAnsi="Times New Roman"/>
          <w:b w:val="false"/>
          <w:i w:val="false"/>
          <w:color w:val="000000"/>
          <w:sz w:val="22"/>
        </w:rPr>
        <w:t>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hospitals, bed capacity is defined as the total facility licensed beds as reported on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health care facilities, bed capacity is defined as a facility’s licensed bed capacity according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“Cardiac catheterization service,” </w:t>
      </w:r>
      <w:r>
        <w:rPr>
          <w:rFonts w:ascii="Times New Roman" w:hAnsi="Times New Roman"/>
          <w:b w:val="false"/>
          <w:i w:val="false"/>
          <w:color w:val="000000"/>
          <w:sz w:val="22"/>
        </w:rPr>
        <w:t xml:space="preserve">as the term applies to a new or changed institutional health service in Iowa Code section </w:t>
      </w:r>
      <w:hyperlink r:id="rId9">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“m”</w:t>
      </w:r>
      <w:r>
        <w:rPr>
          <w:rFonts w:ascii="Times New Roman" w:hAnsi="Times New Roman"/>
          <w:b w:val="false"/>
          <w:i w:val="false"/>
          <w:color w:val="000000"/>
          <w:sz w:val="22"/>
        </w:rPr>
        <w:t>(1),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“Consumers served by a new institutional health service” </w:t>
      </w:r>
      <w:r>
        <w:rPr>
          <w:rFonts w:ascii="Times New Roman" w:hAnsi="Times New Roman"/>
          <w:b w:val="false"/>
          <w:i w:val="false"/>
          <w:color w:val="000000"/>
          <w:sz w:val="22"/>
        </w:rPr>
        <w:t>means those consumers residing in the service area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(acute) care hospital,” </w:t>
      </w:r>
      <w:r>
        <w:rPr>
          <w:rFonts w:ascii="Times New Roman" w:hAnsi="Times New Roman"/>
          <w:b w:val="false"/>
          <w:i w:val="false"/>
          <w:color w:val="000000"/>
          <w:sz w:val="22"/>
        </w:rPr>
        <w:t>for purposes of these rules, means a hospital that has been approved to participate in the Title XVIII (Medicare) program as a long-term care hospital-prospective payment system (LTCH-PPS) hospital in accordance with 42 CFR Part 412 as amended to March 29,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heart surgical service,” </w:t>
      </w:r>
      <w:r>
        <w:rPr>
          <w:rFonts w:ascii="Times New Roman" w:hAnsi="Times New Roman"/>
          <w:b w:val="false"/>
          <w:i w:val="false"/>
          <w:color w:val="000000"/>
          <w:sz w:val="22"/>
        </w:rPr>
        <w:t xml:space="preserve">as the term applies to new or changed institutional health service in Iowa Code section </w:t>
      </w:r>
      <w:hyperlink r:id="rId10">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(2),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 transplantation service,” </w:t>
      </w:r>
      <w:r>
        <w:rPr>
          <w:rFonts w:ascii="Times New Roman" w:hAnsi="Times New Roman"/>
          <w:b w:val="false"/>
          <w:i w:val="false"/>
          <w:color w:val="000000"/>
          <w:sz w:val="22"/>
        </w:rPr>
        <w:t xml:space="preserve">as the term applies to a new or changed institutional health service in Iowa Code section </w:t>
      </w:r>
      <w:hyperlink r:id="rId11">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(3), means the initiation or expansion of this service. Each type of organ transplant shall be considered separately.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change in bed capacity of an institutional health facility” </w:t>
      </w:r>
      <w:r>
        <w:rPr>
          <w:rFonts w:ascii="Times New Roman" w:hAnsi="Times New Roman"/>
          <w:b w:val="false"/>
          <w:i w:val="false"/>
          <w:color w:val="000000"/>
          <w:sz w:val="22"/>
        </w:rPr>
        <w:t xml:space="preserve">includes but is not limited to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conversion of a long-term acute care hospital, a rehabilitation hospital or a psychiatric hospital as defined by federal regulations to a general acute care hospital or to a different type of specialty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hospital that has deleted beds pursuant to Iowa Code section </w:t>
      </w:r>
      <w:hyperlink r:id="rId12">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“g”</w:t>
      </w:r>
      <w:r>
        <w:rPr>
          <w:rFonts w:ascii="Times New Roman" w:hAnsi="Times New Roman"/>
          <w:b w:val="false"/>
          <w:i w:val="false"/>
          <w:color w:val="000000"/>
          <w:sz w:val="22"/>
        </w:rPr>
        <w:t xml:space="preserve"> for the purpose of receiving designation as a critical access hospital reestablishes the deleted beds at a later time, provided that the number of beds reestablished does not exceed the number of beds maintained prior to the deletion as reported on the bed reduction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facility,” </w:t>
      </w:r>
      <w:r>
        <w:rPr>
          <w:rFonts w:ascii="Times New Roman" w:hAnsi="Times New Roman"/>
          <w:b w:val="false"/>
          <w:i w:val="false"/>
          <w:color w:val="000000"/>
          <w:sz w:val="22"/>
        </w:rPr>
        <w:t xml:space="preserve">as the term applies in Iowa Code section </w:t>
      </w:r>
      <w:hyperlink r:id="rId13">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“f,”</w:t>
      </w:r>
      <w:r>
        <w:rPr>
          <w:rFonts w:ascii="Times New Roman" w:hAnsi="Times New Roman"/>
          <w:b w:val="false"/>
          <w:i w:val="false"/>
          <w:color w:val="000000"/>
          <w:sz w:val="22"/>
        </w:rPr>
        <w:t xml:space="preserve"> means a separately licensed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offices and private clinics of an individual physician, dentist, or other practitioner or group of health care providers.” </w:t>
      </w:r>
      <w:r>
        <w:rPr>
          <w:rFonts w:ascii="Times New Roman" w:hAnsi="Times New Roman"/>
          <w:b w:val="false"/>
          <w:i w:val="false"/>
          <w:color w:val="000000"/>
          <w:sz w:val="22"/>
        </w:rPr>
        <w:t xml:space="preserve">The meaning of this term as used in Iowa Code section </w:t>
      </w:r>
      <w:hyperlink r:id="rId14">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 xml:space="preserve"> is determined by looking at factors that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type of health care service delivered.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control and supervision of medical judgment in the care of and treatment of patients.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control and supervision of professional assistants, including nurses, physician assistants, and technicians.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ownership and maintenance of medical records of patients.</w:t>
      </w:r>
    </w:p>
    <w:p>
      <w:pPr>
        <w:spacing w:before="0" w:after="0"/>
        <w:ind w:left="120"/>
        <w:jc w:val="both"/>
      </w:pPr>
      <w:r>
        <w:rPr>
          <w:rFonts w:ascii="Times New Roman" w:hAnsi="Times New Roman"/>
          <w:b w:val="false"/>
          <w:i w:val="false"/>
          <w:color w:val="000000"/>
          <w:sz w:val="22"/>
        </w:rPr>
        <w:t xml:space="preserve">This term excludes an ambulatory surgical center as defined in Iowa Code section </w:t>
      </w:r>
      <w:hyperlink r:id="rId15">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service applying ionizing radiation for the treatment of malignant disease using megavoltage external beam equipment,” </w:t>
      </w:r>
      <w:r>
        <w:rPr>
          <w:rFonts w:ascii="Times New Roman" w:hAnsi="Times New Roman"/>
          <w:b w:val="false"/>
          <w:i w:val="false"/>
          <w:color w:val="000000"/>
          <w:sz w:val="22"/>
        </w:rPr>
        <w:t xml:space="preserve">as the term applies to new or changed institutional health service in Iowa Code section </w:t>
      </w:r>
      <w:hyperlink r:id="rId16">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(4), means the initiation or expansion of this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hospital,” </w:t>
      </w:r>
      <w:r>
        <w:rPr>
          <w:rFonts w:ascii="Times New Roman" w:hAnsi="Times New Roman"/>
          <w:b w:val="false"/>
          <w:i w:val="false"/>
          <w:color w:val="000000"/>
          <w:sz w:val="22"/>
        </w:rPr>
        <w:t xml:space="preserve">for the purposes of these rules, means a hospital that has been approved to participate in the Title XVIII (Medicare) program as an inpatient rehabilitation facility-prospective payment system (IRF-PPS) hospital in accordance with 42 CFR Part 412.23(b), 412.25 or 412.29 as amended to March 29, 1985.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“Relocation of an institutional health facility,” </w:t>
      </w:r>
      <w:r>
        <w:rPr>
          <w:rFonts w:ascii="Times New Roman" w:hAnsi="Times New Roman"/>
          <w:b w:val="false"/>
          <w:i w:val="false"/>
          <w:color w:val="000000"/>
          <w:sz w:val="22"/>
        </w:rPr>
        <w:t xml:space="preserve">as the term applies to new or changed institutional health service in Iowa Code section </w:t>
      </w:r>
      <w:hyperlink r:id="rId17">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“b,”</w:t>
      </w:r>
      <w:r>
        <w:rPr>
          <w:rFonts w:ascii="Times New Roman" w:hAnsi="Times New Roman"/>
          <w:b w:val="false"/>
          <w:i w:val="false"/>
          <w:color w:val="000000"/>
          <w:sz w:val="22"/>
        </w:rPr>
        <w:t xml:space="preserve"> means the replacement of a facility located in one county with a facility located in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“Value in excess of one million five hundred thousand dollars,” </w:t>
      </w:r>
      <w:r>
        <w:rPr>
          <w:rFonts w:ascii="Times New Roman" w:hAnsi="Times New Roman"/>
          <w:b w:val="false"/>
          <w:i w:val="false"/>
          <w:color w:val="000000"/>
          <w:sz w:val="22"/>
        </w:rPr>
        <w:t xml:space="preserve">as used in Iowa Code section </w:t>
      </w:r>
      <w:hyperlink r:id="rId18">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means the value of the equipment including any applicable sales tax, delivery charge and installation charge. With respect to the initiation of radiation therapy services applying ionizing radiation for the treatment of malignant disease using the megavoltage external beam equipment, the term includes the cost of constructing a vault.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481—2202.2</w:t>
      </w:r>
      <w:r>
        <w:rPr>
          <w:rFonts w:ascii="Times New Roman" w:hAnsi="Times New Roman"/>
          <w:b/>
          <w:i w:val="false"/>
          <w:color w:val="000000"/>
          <w:sz w:val="22"/>
        </w:rPr>
        <w:t xml:space="preserve">(10A) </w:t>
      </w:r>
      <w:r>
        <w:rPr>
          <w:rFonts w:ascii="Times New Roman" w:hAnsi="Times New Roman"/>
          <w:b/>
          <w:i w:val="false"/>
          <w:color w:val="000000"/>
          <w:sz w:val="22"/>
        </w:rPr>
        <w:t xml:space="preserve">Letter of intent.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applying for a certificate of need, the sponsor of a proposed new institutional health service or changed institutional health service will electronically submit a letter of intent meeting the criteria noted in Iowa Code section </w:t>
      </w:r>
      <w:hyperlink r:id="rId19">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(1) and containing the project’s estimated cost (site costs, land improvements, facility costs, movable equipment and financing costs, and any applicable sales tax for movable equipment, any applicable delivery charge for movable equipment, and any applicable installation charge for movable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available on the certificate of need web page all criteria and standards that are pertinent to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2202.2(3)</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of intent received by the department is valid for a period of one year from the date of receipt by the department. The sponsor may renew the validity of a letter of intent by providing written notification to the department prior to the one-year expiration date.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481—2202.3</w:t>
      </w:r>
      <w:r>
        <w:rPr>
          <w:rFonts w:ascii="Times New Roman" w:hAnsi="Times New Roman"/>
          <w:b/>
          <w:i w:val="false"/>
          <w:color w:val="000000"/>
          <w:sz w:val="22"/>
        </w:rPr>
        <w:t xml:space="preserve">(10A) </w:t>
      </w:r>
      <w:r>
        <w:rPr>
          <w:rFonts w:ascii="Times New Roman" w:hAnsi="Times New Roman"/>
          <w:b/>
          <w:i w:val="false"/>
          <w:color w:val="000000"/>
          <w:sz w:val="22"/>
        </w:rPr>
        <w:t xml:space="preserve">Determination of reviewability. </w:t>
      </w:r>
      <w:r>
        <w:rPr>
          <w:rFonts w:ascii="Times New Roman" w:hAnsi="Times New Roman"/>
          <w:b w:val="false"/>
          <w:i w:val="false"/>
          <w:color w:val="000000"/>
          <w:sz w:val="22"/>
        </w:rPr>
        <w:t>A sponsor of a proposed project may submit a written request for a determination of reviewability as to whether the project requires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2202.3(1)</w:t>
      </w:r>
      <w:r>
        <w:rPr>
          <w:rFonts w:ascii="Times New Roman" w:hAnsi="Times New Roman"/>
          <w:b w:val="false"/>
          <w:i w:val="false"/>
          <w:color w:val="000000"/>
          <w:sz w:val="22"/>
        </w:rPr>
        <w:t> </w:t>
      </w:r>
      <w:r>
        <w:rPr>
          <w:rFonts w:ascii="Times New Roman" w:hAnsi="Times New Roman"/>
          <w:b w:val="false"/>
          <w:i w:val="false"/>
          <w:color w:val="000000"/>
          <w:sz w:val="22"/>
        </w:rPr>
        <w:t>The request should include sufficient details of the proposed project and cite the sections of the Iowa Code that the sponsor relies upon to assert the project is not reviewable.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from the sponsor of a project, the department will determine if a proposed project requires a certificate of need under Iowa Code sections </w:t>
      </w:r>
      <w:hyperlink r:id="rId20">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 xml:space="preserve">. The department may request additional information about the project to make the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a certificate of need is required, the sponsor will be notified by the department and the request for nonreviewability will be considered the letter of intent for purposes of </w:t>
      </w:r>
      <w:hyperlink r:id="rId21">
        <w:r>
          <w:rPr>
            <w:rStyle w:val="Hyperlink"/>
            <w:rFonts w:ascii="Times New Roman" w:hAnsi="Times New Roman"/>
            <w:b w:val="false"/>
            <w:i w:val="false"/>
            <w:color w:val="000000"/>
            <w:sz w:val="22"/>
          </w:rPr>
          <w:t>2202.2(2)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certificate of need is not required, the sponsor will be notified by the department and the determination of nonreviewability will be placed on the next agenda of the state health facilities council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notification to the sponsor of the results of the department’s review of the request will include specific Iowa Code citations relied upon to support the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481—2202.4</w:t>
      </w:r>
      <w:r>
        <w:rPr>
          <w:rFonts w:ascii="Times New Roman" w:hAnsi="Times New Roman"/>
          <w:b/>
          <w:i w:val="false"/>
          <w:color w:val="000000"/>
          <w:sz w:val="22"/>
        </w:rPr>
        <w:t xml:space="preserve">(10A) </w:t>
      </w:r>
      <w:r>
        <w:rPr>
          <w:rFonts w:ascii="Times New Roman" w:hAnsi="Times New Roman"/>
          <w:b/>
          <w:i w:val="false"/>
          <w:color w:val="000000"/>
          <w:sz w:val="22"/>
        </w:rPr>
        <w:t xml:space="preserve">Submission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sponsor of a proposed project for a new or changed institutional health service will submit to the department an application for certificate of need by using the appropriate application form found on the certificate of need web page. All information requested in the application form will be required in the absence of a waiver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and all attachments shall be submitted via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and maintain electronic files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application fee specified in Iowa Code section </w:t>
      </w:r>
      <w:hyperlink r:id="rId22">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xml:space="preserve"> is based on the total cost of the project, including site costs, land improvements, facility costs, movable equipment, and financing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leased or donated new institutional health services is calculated in the same manner as if the new institutional health services were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leased equipment fee is based on total value of the lease, plus sales tax, delivery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of space includes the cost of a one-year-lease payment for the space, in addition to other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Financing costs are not applicable on leases or cash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will be refunded by the department for any application that is voluntarily withdrawn from the review process in the amounts specified in Iowa Code section </w:t>
      </w:r>
      <w:hyperlink r:id="rId23">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and Iowa Code section </w:t>
      </w:r>
      <w:hyperlink r:id="rId24">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term “submission” means the day the application is received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481—2202.5</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2202.5(1)</w:t>
      </w:r>
      <w:r>
        <w:rPr>
          <w:rFonts w:ascii="Times New Roman" w:hAnsi="Times New Roman"/>
          <w:b w:val="false"/>
          <w:i w:val="false"/>
          <w:color w:val="000000"/>
          <w:sz w:val="22"/>
        </w:rPr>
        <w:t> </w:t>
      </w:r>
      <w:r>
        <w:rPr>
          <w:rFonts w:ascii="Times New Roman" w:hAnsi="Times New Roman"/>
          <w:b w:val="false"/>
          <w:i w:val="false"/>
          <w:color w:val="000000"/>
          <w:sz w:val="22"/>
        </w:rPr>
        <w:t>The presence of three members of the council shall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2202.5(2)</w:t>
      </w:r>
      <w:r>
        <w:rPr>
          <w:rFonts w:ascii="Times New Roman" w:hAnsi="Times New Roman"/>
          <w:b w:val="false"/>
          <w:i w:val="false"/>
          <w:color w:val="000000"/>
          <w:sz w:val="22"/>
        </w:rPr>
        <w:t> </w:t>
      </w:r>
      <w:r>
        <w:rPr>
          <w:rFonts w:ascii="Times New Roman" w:hAnsi="Times New Roman"/>
          <w:b w:val="false"/>
          <w:i w:val="false"/>
          <w:color w:val="000000"/>
          <w:sz w:val="22"/>
        </w:rPr>
        <w:t>The chair and all other council members present will cast votes or abstain, as the case may be, on all council action. No proxy votes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2202.5(3)</w:t>
      </w:r>
      <w:r>
        <w:rPr>
          <w:rFonts w:ascii="Times New Roman" w:hAnsi="Times New Roman"/>
          <w:b w:val="false"/>
          <w:i w:val="false"/>
          <w:color w:val="000000"/>
          <w:sz w:val="22"/>
        </w:rPr>
        <w:t> </w:t>
      </w:r>
      <w:r>
        <w:rPr>
          <w:rFonts w:ascii="Times New Roman" w:hAnsi="Times New Roman"/>
          <w:b w:val="false"/>
          <w:i w:val="false"/>
          <w:color w:val="000000"/>
          <w:sz w:val="22"/>
        </w:rPr>
        <w:t>A vote of a majority of those present will be necessary to take action on any motion before the council. A tie vote means no action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2202.5(4)</w:t>
      </w:r>
      <w:r>
        <w:rPr>
          <w:rFonts w:ascii="Times New Roman" w:hAnsi="Times New Roman"/>
          <w:b w:val="false"/>
          <w:i w:val="false"/>
          <w:color w:val="000000"/>
          <w:sz w:val="22"/>
        </w:rPr>
        <w:t> </w:t>
      </w:r>
      <w:r>
        <w:rPr>
          <w:rFonts w:ascii="Times New Roman" w:hAnsi="Times New Roman"/>
          <w:b w:val="false"/>
          <w:i w:val="false"/>
          <w:color w:val="000000"/>
          <w:sz w:val="22"/>
        </w:rPr>
        <w:t>The council will, at the first meeting after July 1 of each odd-numbered year, elect a vice-chair to perform the duties of the chair in the chair’s absence, when the chair has a conflict of interest or when the chair so directs.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2202.5(5)</w:t>
      </w:r>
      <w:r>
        <w:rPr>
          <w:rFonts w:ascii="Times New Roman" w:hAnsi="Times New Roman"/>
          <w:b w:val="false"/>
          <w:i w:val="false"/>
          <w:color w:val="000000"/>
          <w:sz w:val="22"/>
        </w:rPr>
        <w:t> </w:t>
      </w:r>
      <w:r>
        <w:rPr>
          <w:rFonts w:ascii="Times New Roman" w:hAnsi="Times New Roman"/>
          <w:b w:val="false"/>
          <w:i w:val="false"/>
          <w:color w:val="000000"/>
          <w:sz w:val="22"/>
        </w:rPr>
        <w:t>A council member will refrain from participating in an application review process if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the applicant or a competitor of the applicant in the same or adjoining county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 financial interest in the outcome of the application process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affiliated with or represents the applicant or a competitor of the applicant in the same or adjoining county; (2) has a known financial or significant personal interest that could be substantially affected by the outcome of the application process; or (3) is likely to testify on behalf of the applicant or an affected person at public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refrain from participating in the application review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481—2202.6</w:t>
      </w:r>
      <w:r>
        <w:rPr>
          <w:rFonts w:ascii="Times New Roman" w:hAnsi="Times New Roman"/>
          <w:b/>
          <w:i w:val="false"/>
          <w:color w:val="000000"/>
          <w:sz w:val="22"/>
        </w:rPr>
        <w:t xml:space="preserve">(10A) </w:t>
      </w:r>
      <w:r>
        <w:rPr>
          <w:rFonts w:ascii="Times New Roman" w:hAnsi="Times New Roman"/>
          <w:b/>
          <w:i w:val="false"/>
          <w:color w:val="000000"/>
          <w:sz w:val="22"/>
        </w:rPr>
        <w:t xml:space="preserve">Public hearing on application. </w:t>
      </w:r>
      <w:r>
        <w:rPr>
          <w:rFonts w:ascii="Times New Roman" w:hAnsi="Times New Roman"/>
          <w:b w:val="false"/>
          <w:i w:val="false"/>
          <w:color w:val="000000"/>
          <w:sz w:val="22"/>
        </w:rPr>
        <w:t xml:space="preserve">Public hearings conducted pursuant to Iowa Code section </w:t>
      </w:r>
      <w:hyperlink r:id="rId25">
        <w:r>
          <w:rPr>
            <w:rStyle w:val="Hyperlink"/>
            <w:rFonts w:ascii="Times New Roman" w:hAnsi="Times New Roman"/>
            <w:b w:val="false"/>
            <w:i w:val="false"/>
            <w:color w:val="000000"/>
            <w:sz w:val="22"/>
          </w:rPr>
          <w:t>10A.716(3)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not contested cases. Judicial review pursuant to Iowa Code section </w:t>
      </w:r>
      <w:hyperlink r:id="rId2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of final agency decisions under Iowa Code section </w:t>
      </w:r>
      <w:hyperlink r:id="rId27">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will be treated as other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2202.6(1)</w:t>
      </w:r>
      <w:r>
        <w:rPr>
          <w:rFonts w:ascii="Times New Roman" w:hAnsi="Times New Roman"/>
          <w:b w:val="false"/>
          <w:i w:val="false"/>
          <w:color w:val="000000"/>
          <w:sz w:val="22"/>
        </w:rPr>
        <w:t> </w:t>
      </w:r>
      <w:r>
        <w:rPr>
          <w:rFonts w:ascii="Times New Roman" w:hAnsi="Times New Roman"/>
          <w:b w:val="false"/>
          <w:i w:val="false"/>
          <w:color w:val="000000"/>
          <w:sz w:val="22"/>
        </w:rPr>
        <w:t>The council will use the following meeting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Announcement of application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Presentation of department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Affected persons’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Council discussion, motion and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an accepted application issued pursuant to Iowa Code section </w:t>
      </w:r>
      <w:hyperlink r:id="rId28">
        <w:r>
          <w:rPr>
            <w:rStyle w:val="Hyperlink"/>
            <w:rFonts w:ascii="Times New Roman" w:hAnsi="Times New Roman"/>
            <w:b w:val="false"/>
            <w:i w:val="false"/>
            <w:color w:val="000000"/>
            <w:sz w:val="22"/>
          </w:rPr>
          <w:t>10A.716(2)</w:t>
        </w:r>
      </w:hyperlink>
      <w:r>
        <w:rPr>
          <w:rFonts w:ascii="Times New Roman" w:hAnsi="Times New Roman"/>
          <w:b w:val="false"/>
          <w:i w:val="false"/>
          <w:color w:val="000000"/>
          <w:sz w:val="22"/>
        </w:rPr>
        <w:t xml:space="preserve"> will inform the applicant and affected persons of the deadlines for the electronic submission to the department of written statements or other materials. These deadlines will also be posted on the certificate of need web page.</w:t>
      </w:r>
    </w:p>
    <w:p>
      <w:pPr>
        <w:spacing w:before="0" w:after="0"/>
        <w:ind w:left="120"/>
        <w:jc w:val="both"/>
      </w:pPr>
      <w:r>
        <w:rPr>
          <w:rFonts w:ascii="Times New Roman" w:hAnsi="Times New Roman"/>
          <w:b w:val="false"/>
          <w:i w:val="false"/>
          <w:color w:val="000000"/>
          <w:sz w:val="22"/>
        </w:rPr>
        <w:t>Written submissions received by the department after the deadlines established in this notice will not be considered by the department or the council unless submitted at the public hearing solely to support oral testimony or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2202.6(3)</w:t>
      </w:r>
      <w:r>
        <w:rPr>
          <w:rFonts w:ascii="Times New Roman" w:hAnsi="Times New Roman"/>
          <w:b w:val="false"/>
          <w:i w:val="false"/>
          <w:color w:val="000000"/>
          <w:sz w:val="22"/>
        </w:rPr>
        <w:t> </w:t>
      </w:r>
      <w:r>
        <w:rPr>
          <w:rFonts w:ascii="Times New Roman" w:hAnsi="Times New Roman"/>
          <w:b w:val="false"/>
          <w:i w:val="false"/>
          <w:color w:val="000000"/>
          <w:sz w:val="22"/>
        </w:rPr>
        <w:t>The applicant, affected persons, or their designated representatives will be given the opportunity to make oral presentations to the council. Other interested persons may be given the opportunity to make oral presentations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2202.6(4)</w:t>
      </w:r>
      <w:r>
        <w:rPr>
          <w:rFonts w:ascii="Times New Roman" w:hAnsi="Times New Roman"/>
          <w:b w:val="false"/>
          <w:i w:val="false"/>
          <w:color w:val="000000"/>
          <w:sz w:val="22"/>
        </w:rPr>
        <w:t> </w:t>
      </w:r>
      <w:r>
        <w:rPr>
          <w:rFonts w:ascii="Times New Roman" w:hAnsi="Times New Roman"/>
          <w:b w:val="false"/>
          <w:i w:val="false"/>
          <w:color w:val="000000"/>
          <w:sz w:val="22"/>
        </w:rPr>
        <w:t>Oral testimony that simply duplicates material received in writing will not be heard. The applicant and affected persons will present only one witness for each issue raised unless permission is requested and granted by the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2202.6(5)</w:t>
      </w:r>
      <w:r>
        <w:rPr>
          <w:rFonts w:ascii="Times New Roman" w:hAnsi="Times New Roman"/>
          <w:b w:val="false"/>
          <w:i w:val="false"/>
          <w:color w:val="000000"/>
          <w:sz w:val="22"/>
        </w:rPr>
        <w:t> </w:t>
      </w:r>
      <w:r>
        <w:rPr>
          <w:rFonts w:ascii="Times New Roman" w:hAnsi="Times New Roman"/>
          <w:b w:val="false"/>
          <w:i w:val="false"/>
          <w:color w:val="000000"/>
          <w:sz w:val="22"/>
        </w:rPr>
        <w:t>All questions to an applicant or affected person presenting oral testimony will be directed from the council or council staff unless permission is requested and granted by the chair. Persons making oral presentations to the council are not expected to be placed under oath.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2202.6(6)</w:t>
      </w:r>
      <w:r>
        <w:rPr>
          <w:rFonts w:ascii="Times New Roman" w:hAnsi="Times New Roman"/>
          <w:b w:val="false"/>
          <w:i w:val="false"/>
          <w:color w:val="000000"/>
          <w:sz w:val="22"/>
        </w:rPr>
        <w:t> </w:t>
      </w:r>
      <w:r>
        <w:rPr>
          <w:rFonts w:ascii="Times New Roman" w:hAnsi="Times New Roman"/>
          <w:b w:val="false"/>
          <w:i w:val="false"/>
          <w:color w:val="000000"/>
          <w:sz w:val="22"/>
        </w:rPr>
        <w:t>The council may designate technical consultants or experts to assist in its activities as defined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481—2202.7</w:t>
      </w:r>
      <w:r>
        <w:rPr>
          <w:rFonts w:ascii="Times New Roman" w:hAnsi="Times New Roman"/>
          <w:b/>
          <w:i w:val="false"/>
          <w:color w:val="000000"/>
          <w:sz w:val="22"/>
        </w:rPr>
        <w:t xml:space="preserve">(10A) </w:t>
      </w:r>
      <w:r>
        <w:rPr>
          <w:rFonts w:ascii="Times New Roman" w:hAnsi="Times New Roman"/>
          <w:b/>
          <w:i w:val="false"/>
          <w:color w:val="000000"/>
          <w:sz w:val="22"/>
        </w:rPr>
        <w:t xml:space="preserve">Summary review. </w:t>
      </w:r>
      <w:r>
        <w:rPr>
          <w:rFonts w:ascii="Times New Roman" w:hAnsi="Times New Roman"/>
          <w:b w:val="false"/>
          <w:i w:val="false"/>
          <w:color w:val="000000"/>
          <w:sz w:val="22"/>
        </w:rPr>
        <w:t xml:space="preserve">Pursuant to Iowa Code section </w:t>
      </w:r>
      <w:hyperlink r:id="rId29">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an applicant requesting a summary review will abide by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Electronically submit a written request for summary review and a copy of the application and all attachments. The applicant is not required to submit a letter of intent pursuant to Iowa Code section </w:t>
      </w:r>
      <w:hyperlink r:id="rId30">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 xml:space="preserve"> prior to submitting a written request for a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eligibility of an application for summary review pursuant to Iowa Code section </w:t>
      </w:r>
      <w:hyperlink r:id="rId31">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xml:space="preserve"> does not mandate or require such review. The department will make the decision as to whether an application will be reviewed in the summary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for summary review, an application, and the fee required by Iowa Code section </w:t>
      </w:r>
      <w:hyperlink r:id="rId32">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department will notify the applicant in writing within 15 calendar days if the application is complete and if a summary review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2202.7(4)</w:t>
      </w:r>
      <w:r>
        <w:rPr>
          <w:rFonts w:ascii="Times New Roman" w:hAnsi="Times New Roman"/>
          <w:b w:val="false"/>
          <w:i w:val="false"/>
          <w:color w:val="000000"/>
          <w:sz w:val="22"/>
        </w:rPr>
        <w:t> </w:t>
      </w:r>
      <w:r>
        <w:rPr>
          <w:rFonts w:ascii="Times New Roman" w:hAnsi="Times New Roman"/>
          <w:b w:val="false"/>
          <w:i w:val="false"/>
          <w:color w:val="000000"/>
          <w:sz w:val="22"/>
        </w:rPr>
        <w:t>If an application is deemed incomplete, the department will state specifically in writing what information is needed to make the application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2202.7(5)</w:t>
      </w:r>
      <w:r>
        <w:rPr>
          <w:rFonts w:ascii="Times New Roman" w:hAnsi="Times New Roman"/>
          <w:b w:val="false"/>
          <w:i w:val="false"/>
          <w:color w:val="000000"/>
          <w:sz w:val="22"/>
        </w:rPr>
        <w:t> </w:t>
      </w:r>
      <w:r>
        <w:rPr>
          <w:rFonts w:ascii="Times New Roman" w:hAnsi="Times New Roman"/>
          <w:b w:val="false"/>
          <w:i w:val="false"/>
          <w:color w:val="000000"/>
          <w:sz w:val="22"/>
        </w:rPr>
        <w:t>If the department notifies the applicant that a summary review will not be performed, this decision is binding on the applicant and the application will be entered into the formal review process on the date of written notice that such application will not be reviewed summarily.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2202.7(6)</w:t>
      </w:r>
      <w:r>
        <w:rPr>
          <w:rFonts w:ascii="Times New Roman" w:hAnsi="Times New Roman"/>
          <w:b w:val="false"/>
          <w:i w:val="false"/>
          <w:color w:val="000000"/>
          <w:sz w:val="22"/>
        </w:rPr>
        <w:t> </w:t>
      </w:r>
      <w:r>
        <w:rPr>
          <w:rFonts w:ascii="Times New Roman" w:hAnsi="Times New Roman"/>
          <w:b w:val="false"/>
          <w:i w:val="false"/>
          <w:color w:val="000000"/>
          <w:sz w:val="22"/>
        </w:rPr>
        <w:t>A summary review of an application for a certificate of need will be completed within 60 calendar days of the acceptance of an application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2202.7(7)</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summary review process, an application may be withdrawn without prejudice from the process. The applicant may then submit the application for a formal 90-day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481—2202.8</w:t>
      </w:r>
      <w:r>
        <w:rPr>
          <w:rFonts w:ascii="Times New Roman" w:hAnsi="Times New Roman"/>
          <w:b/>
          <w:i w:val="false"/>
          <w:color w:val="000000"/>
          <w:sz w:val="22"/>
        </w:rPr>
        <w:t xml:space="preserve">(10A) </w:t>
      </w:r>
      <w:r>
        <w:rPr>
          <w:rFonts w:ascii="Times New Roman" w:hAnsi="Times New Roman"/>
          <w:b/>
          <w:i w:val="false"/>
          <w:color w:val="000000"/>
          <w:sz w:val="22"/>
        </w:rPr>
        <w:t xml:space="preserve">Extension of review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review of an application for a certificate of need pursuant to Iowa Code section </w:t>
      </w:r>
      <w:hyperlink r:id="rId33">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be extended by the department on the basis of any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review competing applications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technologically innovative equipment, to obtain additional information necessary to evaluate the proposal. The department will specify in writing such additional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request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at least two members of the state health facilities council in order to allow additional time for deliberation on all evidence present. The council will specify the time of the delay and the date on which the final decision will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extension by the department made pursuant to </w:t>
      </w:r>
      <w:hyperlink r:id="rId34">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will in no case be more than 60 calendar days beyond the time a decision is required under Iowa Code section </w:t>
      </w:r>
      <w:hyperlink r:id="rId35">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unless the applicant and department agree.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none of the provisions of </w:t>
      </w:r>
      <w:hyperlink r:id="rId36">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are applicable and where an application will be automatically denied because of the expiration of time required by Iowa Code section </w:t>
      </w:r>
      <w:hyperlink r:id="rId37">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for the issuance of a written decision by the council, the department will notify the applicant of the likelihood of an automatic denial and will ask the applicant to request in writing an extension of the review time. Where an extension is so requested, the application will be heard at the next regularly scheduled meeting of the council or at any time agreeable to the applicant and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481—2202.9</w:t>
      </w:r>
      <w:r>
        <w:rPr>
          <w:rFonts w:ascii="Times New Roman" w:hAnsi="Times New Roman"/>
          <w:b/>
          <w:i w:val="false"/>
          <w:color w:val="000000"/>
          <w:sz w:val="22"/>
        </w:rPr>
        <w:t xml:space="preserve">(10A) </w:t>
      </w:r>
      <w:r>
        <w:rPr>
          <w:rFonts w:ascii="Times New Roman" w:hAnsi="Times New Roman"/>
          <w:b/>
          <w:i w:val="false"/>
          <w:color w:val="000000"/>
          <w:sz w:val="22"/>
        </w:rPr>
        <w:t xml:space="preserve">Rehearing of certificate of need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affected person who has participated or sought unsuccessfully to participate in the formal review procedure prescribed in Iowa Code section </w:t>
      </w:r>
      <w:hyperlink r:id="rId38">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for good cause shown, file an application for rehearing in writing with the department stating the specific grounds therefor and the relief sought, within 20 calendar days after the date of the issuance of the final decision on an application for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2202.9(2)</w:t>
      </w:r>
      <w:r>
        <w:rPr>
          <w:rFonts w:ascii="Times New Roman" w:hAnsi="Times New Roman"/>
          <w:b w:val="false"/>
          <w:i w:val="false"/>
          <w:color w:val="000000"/>
          <w:sz w:val="22"/>
        </w:rPr>
        <w:t> </w:t>
      </w:r>
      <w:r>
        <w:rPr>
          <w:rFonts w:ascii="Times New Roman" w:hAnsi="Times New Roman"/>
          <w:b w:val="false"/>
          <w:i w:val="false"/>
          <w:color w:val="000000"/>
          <w:sz w:val="22"/>
        </w:rPr>
        <w:t>Grounds for rehearing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significant, relevant information that was unavailable at the date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factors or circumstances relied upon by the council in reaching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Demonstration that the council has materially failed to follow its adopted procedures in reaching its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bases as the council determines constitute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2202.9(3)</w:t>
      </w:r>
      <w:r>
        <w:rPr>
          <w:rFonts w:ascii="Times New Roman" w:hAnsi="Times New Roman"/>
          <w:b w:val="false"/>
          <w:i w:val="false"/>
          <w:color w:val="000000"/>
          <w:sz w:val="22"/>
        </w:rPr>
        <w:t> </w:t>
      </w:r>
      <w:r>
        <w:rPr>
          <w:rFonts w:ascii="Times New Roman" w:hAnsi="Times New Roman"/>
          <w:b w:val="false"/>
          <w:i w:val="false"/>
          <w:color w:val="000000"/>
          <w:sz w:val="22"/>
        </w:rPr>
        <w:t>An application for rehearing is deemed to have been denied unless the council grants the application in writing within 20 calendar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for rehearing is granted, the council may issue an order modifying the initial final order, or may set the matter for consideration at a subsequent meeting date. If public hearing is granted on the application for rehearing, notice will be provided ten calendar days prior to hearing to the person applying for rehearing, the applicant and other affected persons upon request pursuant to </w:t>
      </w:r>
      <w:hyperlink r:id="rId39">
        <w:r>
          <w:rPr>
            <w:rStyle w:val="Hyperlink"/>
            <w:rFonts w:ascii="Times New Roman" w:hAnsi="Times New Roman"/>
            <w:b w:val="false"/>
            <w:i w:val="false"/>
            <w:color w:val="000000"/>
            <w:sz w:val="22"/>
          </w:rPr>
          <w:t>481—2202.10(10A)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2202.9(5)</w:t>
      </w:r>
      <w:r>
        <w:rPr>
          <w:rFonts w:ascii="Times New Roman" w:hAnsi="Times New Roman"/>
          <w:b w:val="false"/>
          <w:i w:val="false"/>
          <w:color w:val="000000"/>
          <w:sz w:val="22"/>
        </w:rPr>
        <w:t> </w:t>
      </w:r>
      <w:r>
        <w:rPr>
          <w:rFonts w:ascii="Times New Roman" w:hAnsi="Times New Roman"/>
          <w:b w:val="false"/>
          <w:i w:val="false"/>
          <w:color w:val="000000"/>
          <w:sz w:val="22"/>
        </w:rPr>
        <w:t>The council will issue the final decision on rehearing, stating the basis for its decision, within 30 calendar days after the application for rehearing was granted or 30 calendar days after public hearing on rehearing,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rehearing is not requested or an affected party remains dissatisfied after the request for rehearing, an appeal may be taken in the manner provided by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request for rehearing is not required prior to appeal under Iowa Code section </w:t>
      </w:r>
      <w:hyperlink r:id="rId4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481—2202.10</w:t>
      </w:r>
      <w:r>
        <w:rPr>
          <w:rFonts w:ascii="Times New Roman" w:hAnsi="Times New Roman"/>
          <w:b/>
          <w:i w:val="false"/>
          <w:color w:val="000000"/>
          <w:sz w:val="22"/>
        </w:rPr>
        <w:t xml:space="preserve">(10A) </w:t>
      </w:r>
      <w:r>
        <w:rPr>
          <w:rFonts w:ascii="Times New Roman" w:hAnsi="Times New Roman"/>
          <w:b/>
          <w:i w:val="false"/>
          <w:color w:val="000000"/>
          <w:sz w:val="22"/>
        </w:rPr>
        <w:t xml:space="preserve">Status reports to affected persons. </w:t>
      </w:r>
      <w:r>
        <w:rPr>
          <w:rFonts w:ascii="Times New Roman" w:hAnsi="Times New Roman"/>
          <w:b w:val="false"/>
          <w:i w:val="false"/>
          <w:color w:val="000000"/>
          <w:sz w:val="22"/>
        </w:rPr>
        <w:t xml:space="preserve">Affected persons are entitled to status reports from the department while a formal application review is in progress pursuant to Iowa Code section </w:t>
      </w:r>
      <w:hyperlink r:id="rId42">
        <w:r>
          <w:rPr>
            <w:rStyle w:val="Hyperlink"/>
            <w:rFonts w:ascii="Times New Roman" w:hAnsi="Times New Roman"/>
            <w:b w:val="false"/>
            <w:i w:val="false"/>
            <w:color w:val="000000"/>
            <w:sz w:val="22"/>
          </w:rPr>
          <w:t>10A.718</w:t>
        </w:r>
      </w:hyperlink>
      <w:r>
        <w:rPr>
          <w:rFonts w:ascii="Times New Roman" w:hAnsi="Times New Roman"/>
          <w:b w:val="false"/>
          <w:i w:val="false"/>
          <w:color w:val="000000"/>
          <w:sz w:val="22"/>
        </w:rPr>
        <w:t xml:space="preserve">. The department will maintain a log of all requests for written status reports by affected persons. Affected persons who request written status reports will submit an electronic request, identifying the specific information requested, which may include notification of the council’s final decision, any application for rehearing, or the filing of a petition for judicial review. The formal process does not preclude informal contacts with department staff for verbal status reports. Printed copies of the council’s final decision, an application for rehearing, a petition for judicial review, or any other public record will be provided upon request.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481—2202.11</w:t>
      </w:r>
      <w:r>
        <w:rPr>
          <w:rFonts w:ascii="Times New Roman" w:hAnsi="Times New Roman"/>
          <w:b/>
          <w:i w:val="false"/>
          <w:color w:val="000000"/>
          <w:sz w:val="22"/>
        </w:rPr>
        <w:t xml:space="preserve">(10A) </w:t>
      </w:r>
      <w:r>
        <w:rPr>
          <w:rFonts w:ascii="Times New Roman" w:hAnsi="Times New Roman"/>
          <w:b/>
          <w:i w:val="false"/>
          <w:color w:val="000000"/>
          <w:sz w:val="22"/>
        </w:rPr>
        <w:t xml:space="preserve">Finality. </w:t>
      </w:r>
      <w:r>
        <w:rPr>
          <w:rFonts w:ascii="Times New Roman" w:hAnsi="Times New Roman"/>
          <w:b w:val="false"/>
          <w:i w:val="false"/>
          <w:color w:val="000000"/>
          <w:sz w:val="22"/>
        </w:rPr>
        <w:t xml:space="preserve">The certificate of need application process is continuous beginning with submission of a letter of intent or request for waiver of a letter of intent through issuance of a final decision by the council subject to judicial review under Iowa Code chapter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intermediate and subject to judicial review only to the extent they meet criteria for intermediate review under Iowa Code section </w:t>
      </w:r>
      <w:hyperlink r:id="rId4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department pursuant to </w:t>
      </w:r>
      <w:hyperlink r:id="rId45">
        <w:r>
          <w:rPr>
            <w:rStyle w:val="Hyperlink"/>
            <w:rFonts w:ascii="Times New Roman" w:hAnsi="Times New Roman"/>
            <w:b w:val="false"/>
            <w:i w:val="false"/>
            <w:color w:val="000000"/>
            <w:sz w:val="22"/>
          </w:rPr>
          <w:t>481—2202.3(10A)</w:t>
        </w:r>
      </w:hyperlink>
      <w:r>
        <w:rPr>
          <w:rFonts w:ascii="Times New Roman" w:hAnsi="Times New Roman"/>
          <w:b w:val="false"/>
          <w:i w:val="false"/>
          <w:color w:val="000000"/>
          <w:sz w:val="22"/>
        </w:rPr>
        <w:t xml:space="preserve">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waive submission of the letter of intent and substitute summary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rejection of an application by the department that fails to provide all information required under Iowa Code section </w:t>
      </w:r>
      <w:hyperlink r:id="rId46">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final decisions subject to judicial review as final agency action under Iowa Code section </w:t>
      </w:r>
      <w:hyperlink r:id="rId4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disallow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to approve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council’s final ruling on an application for rehearing;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council to revoke a certificate of need pursuant to </w:t>
      </w:r>
      <w:hyperlink r:id="rId48">
        <w:r>
          <w:rPr>
            <w:rStyle w:val="Hyperlink"/>
            <w:rFonts w:ascii="Times New Roman" w:hAnsi="Times New Roman"/>
            <w:b w:val="false"/>
            <w:i w:val="false"/>
            <w:color w:val="000000"/>
            <w:sz w:val="22"/>
          </w:rPr>
          <w:t>481—2202.13(10A)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481—2202.12</w:t>
      </w:r>
      <w:r>
        <w:rPr>
          <w:rFonts w:ascii="Times New Roman" w:hAnsi="Times New Roman"/>
          <w:b/>
          <w:i w:val="false"/>
          <w:color w:val="000000"/>
          <w:sz w:val="22"/>
        </w:rPr>
        <w:t xml:space="preserve">(10A) </w:t>
      </w:r>
      <w:r>
        <w:rPr>
          <w:rFonts w:ascii="Times New Roman" w:hAnsi="Times New Roman"/>
          <w:b/>
          <w:i w:val="false"/>
          <w:color w:val="000000"/>
          <w:sz w:val="22"/>
        </w:rPr>
        <w:t xml:space="preserve">Project 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2202.12(1)</w:t>
      </w:r>
      <w:r>
        <w:rPr>
          <w:rFonts w:ascii="Times New Roman" w:hAnsi="Times New Roman"/>
          <w:b w:val="false"/>
          <w:i w:val="false"/>
          <w:color w:val="000000"/>
          <w:sz w:val="22"/>
        </w:rPr>
        <w:t> </w:t>
      </w:r>
      <w:r>
        <w:rPr>
          <w:rFonts w:ascii="Times New Roman" w:hAnsi="Times New Roman"/>
          <w:b w:val="false"/>
          <w:i w:val="false"/>
          <w:color w:val="000000"/>
          <w:sz w:val="22"/>
        </w:rPr>
        <w:t>The sponsor of an approved application will submit a progress report using the form available on the certificate of need web page six months after approval at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2202.12(2)</w:t>
      </w:r>
      <w:r>
        <w:rPr>
          <w:rFonts w:ascii="Times New Roman" w:hAnsi="Times New Roman"/>
          <w:b w:val="false"/>
          <w:i w:val="false"/>
          <w:color w:val="000000"/>
          <w:sz w:val="22"/>
        </w:rPr>
        <w:t> </w:t>
      </w:r>
      <w:r>
        <w:rPr>
          <w:rFonts w:ascii="Times New Roman" w:hAnsi="Times New Roman"/>
          <w:b w:val="false"/>
          <w:i w:val="false"/>
          <w:color w:val="000000"/>
          <w:sz w:val="22"/>
        </w:rPr>
        <w:t>Progress reports shall fully identify the project and indicate the current status of the project in descriptive terms. The reports should also reflect an amended project schedule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481—2202.13</w:t>
      </w:r>
      <w:r>
        <w:rPr>
          <w:rFonts w:ascii="Times New Roman" w:hAnsi="Times New Roman"/>
          <w:b/>
          <w:i w:val="false"/>
          <w:color w:val="000000"/>
          <w:sz w:val="22"/>
        </w:rPr>
        <w:t xml:space="preserve">(10A) </w:t>
      </w:r>
      <w:r>
        <w:rPr>
          <w:rFonts w:ascii="Times New Roman" w:hAnsi="Times New Roman"/>
          <w:b/>
          <w:i w:val="false"/>
          <w:color w:val="000000"/>
          <w:sz w:val="22"/>
        </w:rPr>
        <w:t xml:space="preserve">Request for extension of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2202.13(1)</w:t>
      </w:r>
      <w:r>
        <w:rPr>
          <w:rFonts w:ascii="Times New Roman" w:hAnsi="Times New Roman"/>
          <w:b w:val="false"/>
          <w:i w:val="false"/>
          <w:color w:val="000000"/>
          <w:sz w:val="22"/>
        </w:rPr>
        <w:t> </w:t>
      </w:r>
      <w:r>
        <w:rPr>
          <w:rFonts w:ascii="Times New Roman" w:hAnsi="Times New Roman"/>
          <w:b w:val="false"/>
          <w:i w:val="false"/>
          <w:color w:val="000000"/>
          <w:sz w:val="22"/>
        </w:rPr>
        <w:t>A request by the applicant for an extension of a certificate of need should be filed with the department using the form available on the certificate of need web page no later than 30 days prior to the expiration of the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2202.13(2)</w:t>
      </w:r>
      <w:r>
        <w:rPr>
          <w:rFonts w:ascii="Times New Roman" w:hAnsi="Times New Roman"/>
          <w:b w:val="false"/>
          <w:i w:val="false"/>
          <w:color w:val="000000"/>
          <w:sz w:val="22"/>
        </w:rPr>
        <w:t> </w:t>
      </w:r>
      <w:r>
        <w:rPr>
          <w:rFonts w:ascii="Times New Roman" w:hAnsi="Times New Roman"/>
          <w:b w:val="false"/>
          <w:i w:val="false"/>
          <w:color w:val="000000"/>
          <w:sz w:val="22"/>
        </w:rPr>
        <w:t>A request for extension should fully identify the project and indicate the current status of the project in descriptive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2202.13(3)</w:t>
      </w:r>
      <w:r>
        <w:rPr>
          <w:rFonts w:ascii="Times New Roman" w:hAnsi="Times New Roman"/>
          <w:b w:val="false"/>
          <w:i w:val="false"/>
          <w:color w:val="000000"/>
          <w:sz w:val="22"/>
        </w:rPr>
        <w:t> </w:t>
      </w:r>
      <w:r>
        <w:rPr>
          <w:rFonts w:ascii="Times New Roman" w:hAnsi="Times New Roman"/>
          <w:b w:val="false"/>
          <w:i w:val="false"/>
          <w:color w:val="000000"/>
          <w:sz w:val="22"/>
        </w:rPr>
        <w:t>Any affected person has the right to submit to the department in writing, or orally at the council meeting at which the extension request is considered, information that may be relevant to the question of granting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2202.13(4)</w:t>
      </w:r>
      <w:r>
        <w:rPr>
          <w:rFonts w:ascii="Times New Roman" w:hAnsi="Times New Roman"/>
          <w:b w:val="false"/>
          <w:i w:val="false"/>
          <w:color w:val="000000"/>
          <w:sz w:val="22"/>
        </w:rPr>
        <w:t> </w:t>
      </w:r>
      <w:r>
        <w:rPr>
          <w:rFonts w:ascii="Times New Roman" w:hAnsi="Times New Roman"/>
          <w:b w:val="false"/>
          <w:i w:val="false"/>
          <w:color w:val="000000"/>
          <w:sz w:val="22"/>
        </w:rPr>
        <w:t>When an extension has been requested, the council will approve or deny the request at a meeting of the council preceding the expiration of the certification. The certificate of need may be revoked by the council at the end of the certification period for insufficient progress in developing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extension is denied, the applicant has the right to appeal under the provisions of Iowa Code section </w:t>
      </w:r>
      <w:hyperlink r:id="rId49">
        <w:r>
          <w:rPr>
            <w:rStyle w:val="Hyperlink"/>
            <w:rFonts w:ascii="Times New Roman" w:hAnsi="Times New Roman"/>
            <w:b w:val="false"/>
            <w:i w:val="false"/>
            <w:color w:val="000000"/>
            <w:sz w:val="22"/>
          </w:rPr>
          <w:t>10A.720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481—2202.14</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Application changes after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2202.14(1)</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project has been approved by the council, no changes that vary from or alter the number of approved beds, the approved services or the approved cost by an amount indicated in </w:t>
      </w:r>
      <w:hyperlink r:id="rId50">
        <w:r>
          <w:rPr>
            <w:rStyle w:val="Hyperlink"/>
            <w:rFonts w:ascii="Times New Roman" w:hAnsi="Times New Roman"/>
            <w:b w:val="false"/>
            <w:i w:val="false"/>
            <w:color w:val="000000"/>
            <w:sz w:val="22"/>
          </w:rPr>
          <w:t>2202.14(2)</w:t>
        </w:r>
      </w:hyperlink>
      <w:r>
        <w:rPr>
          <w:rFonts w:ascii="Times New Roman" w:hAnsi="Times New Roman"/>
          <w:b w:val="false"/>
          <w:i w:val="false"/>
          <w:color w:val="000000"/>
          <w:sz w:val="22"/>
        </w:rPr>
        <w:t xml:space="preserve"> may be made unless requested by the applicant and approved by the council. Requests should be made in writing and filed with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2202.14(2)</w:t>
      </w:r>
      <w:r>
        <w:rPr>
          <w:rFonts w:ascii="Times New Roman" w:hAnsi="Times New Roman"/>
          <w:b w:val="false"/>
          <w:i w:val="false"/>
          <w:color w:val="000000"/>
          <w:sz w:val="22"/>
        </w:rPr>
        <w:t> </w:t>
      </w:r>
      <w:r>
        <w:rPr>
          <w:rFonts w:ascii="Times New Roman" w:hAnsi="Times New Roman"/>
          <w:b w:val="false"/>
          <w:i w:val="false"/>
          <w:color w:val="000000"/>
          <w:sz w:val="22"/>
        </w:rPr>
        <w:t>An increase in the actual cost of the project over and above that originally approved will automatically generate review by the council if the increase exceeds the originally approved amount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Fifteen percent for projects up to $999,999.99;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Twelve percent for projects from $1,000,000.00 to $4,999,999.99;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Eight percent for projects $5,000,000.00 and over.</w:t>
      </w:r>
    </w:p>
    <w:p>
      <w:pPr>
        <w:spacing w:before="0" w:after="0"/>
        <w:ind w:left="120"/>
        <w:jc w:val="both"/>
      </w:pPr>
      <w:r>
        <w:rPr>
          <w:rFonts w:ascii="Times New Roman" w:hAnsi="Times New Roman"/>
          <w:b w:val="false"/>
          <w:i w:val="false"/>
          <w:color w:val="000000"/>
          <w:sz w:val="22"/>
        </w:rPr>
        <w:t>An increase in the approved cost that falls below the above percentages will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and receive permission of the council to change the project as originally approved may result in the imposition of sanctions provided in Iowa Code section </w:t>
      </w:r>
      <w:hyperlink r:id="rId51">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The council may make a recommendation to the department regarding the imposition of a sanction and the amount of the fine to be imposed.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481—2202.15</w:t>
      </w:r>
      <w:r>
        <w:rPr>
          <w:rFonts w:ascii="Times New Roman" w:hAnsi="Times New Roman"/>
          <w:b/>
          <w:i w:val="false"/>
          <w:color w:val="000000"/>
          <w:sz w:val="22"/>
        </w:rPr>
        <w:t xml:space="preserve">(10A)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Hearings to determine class I or class II violations pursuant to Iowa Code section </w:t>
      </w:r>
      <w:hyperlink r:id="rId52">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will be conducted in accordance with the department’s procedural rules for contested cases found at </w:t>
      </w:r>
      <w:hyperlink r:id="rId53">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481—2202.16</w:t>
      </w:r>
      <w:r>
        <w:rPr>
          <w:rFonts w:ascii="Times New Roman" w:hAnsi="Times New Roman"/>
          <w:b/>
          <w:i w:val="false"/>
          <w:color w:val="000000"/>
          <w:sz w:val="22"/>
        </w:rPr>
        <w:t xml:space="preserve">(10A)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 xml:space="preserve">For the purposes of the annual reports and data compilation required in Iowa Code sections </w:t>
      </w:r>
      <w:hyperlink r:id="rId54">
        <w:r>
          <w:rPr>
            <w:rStyle w:val="Hyperlink"/>
            <w:rFonts w:ascii="Times New Roman" w:hAnsi="Times New Roman"/>
            <w:b w:val="false"/>
            <w:i w:val="false"/>
            <w:color w:val="000000"/>
            <w:sz w:val="22"/>
          </w:rPr>
          <w:t>10A.725</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10A.727</w:t>
        </w:r>
      </w:hyperlink>
      <w:r>
        <w:rPr>
          <w:rFonts w:ascii="Times New Roman" w:hAnsi="Times New Roman"/>
          <w:b w:val="false"/>
          <w:i w:val="false"/>
          <w:color w:val="000000"/>
          <w:sz w:val="22"/>
        </w:rPr>
        <w:t>, the department will utilize the AHA Annual Survey of Hospitals with the state survey addendum for hospitals and the cost reports for health care facilities submitted to the Medicaid enterprise of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6">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7/26/78—published 8/23/78, effective 7/26/78]</w:t>
      </w:r>
    </w:p>
    <w:p>
      <w:pPr>
        <w:spacing w:before="0" w:after="0"/>
        <w:ind w:left="120"/>
        <w:jc w:val="center"/>
      </w:pPr>
      <w:r>
        <w:rPr>
          <w:rFonts w:ascii="Times New Roman" w:hAnsi="Times New Roman"/>
          <w:b w:val="false"/>
          <w:i w:val="false"/>
          <w:color w:val="000000"/>
          <w:sz w:val="21"/>
        </w:rPr>
        <w:t>[Filed emergency 7/25/79—published 8/22/79, effective 7/25/79]</w:t>
      </w:r>
    </w:p>
    <w:p>
      <w:pPr>
        <w:spacing w:before="0" w:after="0"/>
        <w:ind w:left="120"/>
        <w:jc w:val="center"/>
      </w:pPr>
      <w:r>
        <w:rPr>
          <w:rFonts w:ascii="Times New Roman" w:hAnsi="Times New Roman"/>
          <w:b w:val="false"/>
          <w:i w:val="false"/>
          <w:color w:val="000000"/>
          <w:sz w:val="21"/>
        </w:rPr>
        <w:t>[Filed emergency 11/14/79—published 12/12/79, effective 11/14/79]</w:t>
      </w:r>
    </w:p>
    <w:p>
      <w:pPr>
        <w:spacing w:before="0" w:after="0"/>
        <w:ind w:left="120"/>
        <w:jc w:val="center"/>
      </w:pPr>
      <w:r>
        <w:rPr>
          <w:rFonts w:ascii="Times New Roman" w:hAnsi="Times New Roman"/>
          <w:b w:val="false"/>
          <w:i w:val="false"/>
          <w:color w:val="000000"/>
          <w:sz w:val="21"/>
        </w:rPr>
        <w:t>[Filed emergency 12/6/79 after Notice 8/8/79—published 12/26/79, effective 12/26/79]</w:t>
      </w:r>
    </w:p>
    <w:p>
      <w:pPr>
        <w:spacing w:before="0" w:after="0"/>
        <w:ind w:left="120"/>
        <w:jc w:val="center"/>
      </w:pPr>
      <w:r>
        <w:rPr>
          <w:rFonts w:ascii="Times New Roman" w:hAnsi="Times New Roman"/>
          <w:b w:val="false"/>
          <w:i w:val="false"/>
          <w:color w:val="000000"/>
          <w:sz w:val="21"/>
        </w:rPr>
        <w:t>[Filed 2/1/80, Notice 8/8/79—published 2/20/80, effective 3/26/80]</w:t>
      </w:r>
    </w:p>
    <w:p>
      <w:pPr>
        <w:spacing w:before="0" w:after="0"/>
        <w:ind w:left="120"/>
        <w:jc w:val="center"/>
      </w:pPr>
      <w:r>
        <w:rPr>
          <w:rFonts w:ascii="Times New Roman" w:hAnsi="Times New Roman"/>
          <w:b w:val="false"/>
          <w:i w:val="false"/>
          <w:color w:val="000000"/>
          <w:sz w:val="21"/>
        </w:rPr>
        <w:t>[Filed emergency 5/20/80—published 6/11/80, effective 5/20/80]</w:t>
      </w:r>
    </w:p>
    <w:p>
      <w:pPr>
        <w:spacing w:before="0" w:after="0"/>
        <w:ind w:left="120"/>
        <w:jc w:val="center"/>
      </w:pPr>
      <w:r>
        <w:rPr>
          <w:rFonts w:ascii="Times New Roman" w:hAnsi="Times New Roman"/>
          <w:b w:val="false"/>
          <w:i w:val="false"/>
          <w:color w:val="000000"/>
          <w:sz w:val="21"/>
        </w:rPr>
        <w:t>[Filed 1/15/82, Notice 12/9/81—published 2/3/82, effective 3/10/82]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9/14/82—published 9/29/82, effective 9/29/82]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11/17/82 after Notice 9/29/82—published 12/8/82, effective 12/8/82]</w:t>
      </w:r>
    </w:p>
    <w:p>
      <w:pPr>
        <w:spacing w:before="0" w:after="0"/>
        <w:ind w:left="120"/>
        <w:jc w:val="center"/>
      </w:pPr>
      <w:r>
        <w:rPr>
          <w:rFonts w:ascii="Times New Roman" w:hAnsi="Times New Roman"/>
          <w:b w:val="false"/>
          <w:i w:val="false"/>
          <w:color w:val="000000"/>
          <w:sz w:val="21"/>
        </w:rPr>
        <w:t>[Filed 5/15/86, Notice 4/9/86—published 6/4/86, effective 7/11/86]</w:t>
      </w:r>
    </w:p>
    <w:p>
      <w:pPr>
        <w:spacing w:before="0" w:after="0"/>
        <w:ind w:left="120"/>
        <w:jc w:val="center"/>
      </w:pPr>
      <w:r>
        <w:rPr>
          <w:rFonts w:ascii="Times New Roman" w:hAnsi="Times New Roman"/>
          <w:b w:val="false"/>
          <w:i w:val="false"/>
          <w:color w:val="000000"/>
          <w:sz w:val="21"/>
        </w:rPr>
        <w:t>[Filed emergency 7/10/87—published 7/29/87, effective 7/10/87]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emergency 7/11/97 after Notice 6/4/97—published 7/30/97, effective 7/11/97]</w:t>
      </w:r>
    </w:p>
    <w:p>
      <w:pPr>
        <w:spacing w:before="0" w:after="0"/>
        <w:ind w:left="120"/>
        <w:jc w:val="center"/>
      </w:pPr>
      <w:r>
        <w:rPr>
          <w:rFonts w:ascii="Times New Roman" w:hAnsi="Times New Roman"/>
          <w:b w:val="false"/>
          <w:i w:val="false"/>
          <w:color w:val="000000"/>
          <w:sz w:val="21"/>
        </w:rPr>
        <w:t>[Filed 11/16/04, Notice 8/4/04—published 12/8/04, effective 1/12/05]</w:t>
      </w:r>
    </w:p>
    <w:p>
      <w:pPr>
        <w:spacing w:before="0" w:after="0"/>
        <w:ind w:left="120"/>
        <w:jc w:val="center"/>
      </w:pPr>
      <w:r>
        <w:rPr>
          <w:rFonts w:ascii="Times New Roman" w:hAnsi="Times New Roman"/>
          <w:b w:val="false"/>
          <w:i w:val="false"/>
          <w:color w:val="000000"/>
          <w:sz w:val="21"/>
        </w:rPr>
        <w:t>[Filed 1/13/05, Notice 12/8/04—published 2/2/05, effective 3/9/05]</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ARC 1748C</w:t>
      </w:r>
      <w:r>
        <w:rPr>
          <w:rFonts w:ascii="Times New Roman" w:hAnsi="Times New Roman"/>
          <w:b w:val="false"/>
          <w:i w:val="false"/>
          <w:color w:val="000000"/>
          <w:sz w:val="21"/>
        </w:rPr>
        <w:t xml:space="preserve"> (Notice ARC 1655C,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7932C</w:t>
      </w:r>
      <w:r>
        <w:rPr>
          <w:rFonts w:ascii="Times New Roman" w:hAnsi="Times New Roman"/>
          <w:b w:val="false"/>
          <w:i w:val="false"/>
          <w:color w:val="000000"/>
          <w:sz w:val="21"/>
        </w:rPr>
        <w:t xml:space="preserve"> (Notice ARC 7379C, IAB 1/10/24)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9/4/24]</w:t>
      </w:r>
    </w:p>
    <w:p>
      <w:pPr>
        <w:spacing w:before="0" w:after="0"/>
        <w:ind w:left="120"/>
        <w:jc w:val="center"/>
      </w:pPr>
      <w:r>
        <w:rPr>
          <w:rFonts w:ascii="Times New Roman" w:hAnsi="Times New Roman"/>
          <w:b w:val="false"/>
          <w:i w:val="false"/>
          <w:color w:val="000000"/>
          <w:sz w:val="21"/>
        </w:rPr>
        <w:t>[Editorial change: IAC Supplement 4/2/25]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713.pdf" Type="http://schemas.openxmlformats.org/officeDocument/2006/relationships/hyperlink" Id="rId5"/>
    <Relationship TargetMode="External" Target="https://www.legis.iowa.gov/docs/ico/chapter/10A.711.pdf" Type="http://schemas.openxmlformats.org/officeDocument/2006/relationships/hyperlink" Id="rId6"/>
    <Relationship TargetMode="External" Target="https://www.legis.iowa.gov/docs/ico/chapter/10A.711.pdf" Type="http://schemas.openxmlformats.org/officeDocument/2006/relationships/hyperlink" Id="rId7"/>
    <Relationship TargetMode="External" Target="https://www.legis.iowa.gov/docs/ico/chapter/10A.711.pdf" Type="http://schemas.openxmlformats.org/officeDocument/2006/relationships/hyperlink" Id="rId8"/>
    <Relationship TargetMode="External" Target="https://www.legis.iowa.gov/docs/ico/chapter/10A.711.pdf" Type="http://schemas.openxmlformats.org/officeDocument/2006/relationships/hyperlink" Id="rId9"/>
    <Relationship TargetMode="External" Target="https://www.legis.iowa.gov/docs/ico/chapter/10A.711.pdf" Type="http://schemas.openxmlformats.org/officeDocument/2006/relationships/hyperlink" Id="rId10"/>
    <Relationship TargetMode="External" Target="https://www.legis.iowa.gov/docs/ico/chapter/10A.711.pdf" Type="http://schemas.openxmlformats.org/officeDocument/2006/relationships/hyperlink" Id="rId11"/>
    <Relationship TargetMode="External" Target="https://www.legis.iowa.gov/docs/ico/chapter/10A.713.pdf" Type="http://schemas.openxmlformats.org/officeDocument/2006/relationships/hyperlink" Id="rId12"/>
    <Relationship TargetMode="External" Target="https://www.legis.iowa.gov/docs/ico/chapter/10A.711.pdf" Type="http://schemas.openxmlformats.org/officeDocument/2006/relationships/hyperlink" Id="rId13"/>
    <Relationship TargetMode="External" Target="https://www.legis.iowa.gov/docs/ico/chapter/10A.713.pdf" Type="http://schemas.openxmlformats.org/officeDocument/2006/relationships/hyperlink" Id="rId14"/>
    <Relationship TargetMode="External" Target="https://www.legis.iowa.gov/docs/ico/chapter/135R.1.pdf" Type="http://schemas.openxmlformats.org/officeDocument/2006/relationships/hyperlink" Id="rId15"/>
    <Relationship TargetMode="External" Target="https://www.legis.iowa.gov/docs/ico/chapter/10A.711.pdf" Type="http://schemas.openxmlformats.org/officeDocument/2006/relationships/hyperlink" Id="rId16"/>
    <Relationship TargetMode="External" Target="https://www.legis.iowa.gov/docs/ico/chapter/10A.711.pdf" Type="http://schemas.openxmlformats.org/officeDocument/2006/relationships/hyperlink" Id="rId17"/>
    <Relationship TargetMode="External" Target="https://www.legis.iowa.gov/docs/ico/chapter/10A.711.pdf" Type="http://schemas.openxmlformats.org/officeDocument/2006/relationships/hyperlink" Id="rId18"/>
    <Relationship TargetMode="External" Target="https://www.legis.iowa.gov/docs/ico/chapter/10A.715.pdf" Type="http://schemas.openxmlformats.org/officeDocument/2006/relationships/hyperlink" Id="rId19"/>
    <Relationship TargetMode="External" Target="https://www.legis.iowa.gov/docs/ico/chapter/10A.711-729.pdf" Type="http://schemas.openxmlformats.org/officeDocument/2006/relationships/hyperlink" Id="rId20"/>
    <Relationship TargetMode="External" Target="https://www.legis.iowa.gov/docs/iac/rule/641.2202.2.pdf" Type="http://schemas.openxmlformats.org/officeDocument/2006/relationships/hyperlink" Id="rId21"/>
    <Relationship TargetMode="External" Target="https://www.legis.iowa.gov/docs/ico/chapter/10A.713.pdf" Type="http://schemas.openxmlformats.org/officeDocument/2006/relationships/hyperlink" Id="rId22"/>
    <Relationship TargetMode="External" Target="https://www.legis.iowa.gov/docs/ico/chapter/10A.713.pdf" Type="http://schemas.openxmlformats.org/officeDocument/2006/relationships/hyperlink" Id="rId23"/>
    <Relationship TargetMode="External" Target="https://www.legis.iowa.gov/docs/ico/chapter/10A.713.pdf" Type="http://schemas.openxmlformats.org/officeDocument/2006/relationships/hyperlink" Id="rId24"/>
    <Relationship TargetMode="External" Target="https://www.legis.iowa.gov/docs/ico/chapter/10A.716.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0A.719.pdf" Type="http://schemas.openxmlformats.org/officeDocument/2006/relationships/hyperlink" Id="rId27"/>
    <Relationship TargetMode="External" Target="https://www.legis.iowa.gov/docs/ico/chapter/10A.716.pdf" Type="http://schemas.openxmlformats.org/officeDocument/2006/relationships/hyperlink" Id="rId28"/>
    <Relationship TargetMode="External" Target="https://www.legis.iowa.gov/docs/ico/chapter/10A.717.pdf" Type="http://schemas.openxmlformats.org/officeDocument/2006/relationships/hyperlink" Id="rId29"/>
    <Relationship TargetMode="External" Target="https://www.legis.iowa.gov/docs/ico/chapter/10A.715.pdf" Type="http://schemas.openxmlformats.org/officeDocument/2006/relationships/hyperlink" Id="rId30"/>
    <Relationship TargetMode="External" Target="https://www.legis.iowa.gov/docs/ico/chapter/10A.717.pdf" Type="http://schemas.openxmlformats.org/officeDocument/2006/relationships/hyperlink" Id="rId31"/>
    <Relationship TargetMode="External" Target="https://www.legis.iowa.gov/docs/ico/chapter/10A.713.pdf" Type="http://schemas.openxmlformats.org/officeDocument/2006/relationships/hyperlink" Id="rId32"/>
    <Relationship TargetMode="External" Target="https://www.legis.iowa.gov/docs/ico/chapter/10A.716.pdf" Type="http://schemas.openxmlformats.org/officeDocument/2006/relationships/hyperlink" Id="rId33"/>
    <Relationship TargetMode="External" Target="https://www.legis.iowa.gov/docs/iac/rule/641.2202.8.pdf" Type="http://schemas.openxmlformats.org/officeDocument/2006/relationships/hyperlink" Id="rId34"/>
    <Relationship TargetMode="External" Target="https://www.legis.iowa.gov/docs/ico/chapter/10A.719.pdf" Type="http://schemas.openxmlformats.org/officeDocument/2006/relationships/hyperlink" Id="rId35"/>
    <Relationship TargetMode="External" Target="https://www.legis.iowa.gov/docs/iac/rule/641.2202.8.pdf" Type="http://schemas.openxmlformats.org/officeDocument/2006/relationships/hyperlink" Id="rId36"/>
    <Relationship TargetMode="External" Target="https://www.legis.iowa.gov/docs/ico/chapter/10A.719.pdf" Type="http://schemas.openxmlformats.org/officeDocument/2006/relationships/hyperlink" Id="rId37"/>
    <Relationship TargetMode="External" Target="https://www.legis.iowa.gov/docs/ico/chapter/10A.716.pdf" Type="http://schemas.openxmlformats.org/officeDocument/2006/relationships/hyperlink" Id="rId38"/>
    <Relationship TargetMode="External" Target="https://www.legis.iowa.gov/docs/iac/rule/481.2202.10.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7A.19.pdf" Type="http://schemas.openxmlformats.org/officeDocument/2006/relationships/hyperlink" Id="rId41"/>
    <Relationship TargetMode="External" Target="https://www.legis.iowa.gov/docs/ico/chapter/10A.718.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7A.19.pdf" Type="http://schemas.openxmlformats.org/officeDocument/2006/relationships/hyperlink" Id="rId44"/>
    <Relationship TargetMode="External" Target="https://www.legis.iowa.gov/docs/iac/rule/481.2202.3.pdf" Type="http://schemas.openxmlformats.org/officeDocument/2006/relationships/hyperlink" Id="rId45"/>
    <Relationship TargetMode="External" Target="https://www.legis.iowa.gov/docs/ico/chapter/10A.713.pdf" Type="http://schemas.openxmlformats.org/officeDocument/2006/relationships/hyperlink" Id="rId46"/>
    <Relationship TargetMode="External" Target="https://www.legis.iowa.gov/docs/ico/chapter/17A.19.pdf" Type="http://schemas.openxmlformats.org/officeDocument/2006/relationships/hyperlink" Id="rId47"/>
    <Relationship TargetMode="External" Target="https://www.legis.iowa.gov/docs/iac/rule/481.2202.13.pdf" Type="http://schemas.openxmlformats.org/officeDocument/2006/relationships/hyperlink" Id="rId48"/>
    <Relationship TargetMode="External" Target="https://www.legis.iowa.gov/docs/ico/chapter/10A.720.pdf" Type="http://schemas.openxmlformats.org/officeDocument/2006/relationships/hyperlink" Id="rId49"/>
    <Relationship TargetMode="External" Target="https://www.legis.iowa.gov/docs/iac/rule/641.2202.14.pdf" Type="http://schemas.openxmlformats.org/officeDocument/2006/relationships/hyperlink" Id="rId50"/>
    <Relationship TargetMode="External" Target="https://www.legis.iowa.gov/docs/ico/chapter/10A.723.pdf" Type="http://schemas.openxmlformats.org/officeDocument/2006/relationships/hyperlink" Id="rId51"/>
    <Relationship TargetMode="External" Target="https://www.legis.iowa.gov/docs/ico/chapter/10A.723.pdf" Type="http://schemas.openxmlformats.org/officeDocument/2006/relationships/hyperlink" Id="rId52"/>
    <Relationship TargetMode="External" Target="https://www.legis.iowa.gov/docs/iac/chapter/481.9.pdf" Type="http://schemas.openxmlformats.org/officeDocument/2006/relationships/hyperlink" Id="rId53"/>
    <Relationship TargetMode="External" Target="https://www.legis.iowa.gov/docs/ico/chapter/10A.725.pdf" Type="http://schemas.openxmlformats.org/officeDocument/2006/relationships/hyperlink" Id="rId54"/>
    <Relationship TargetMode="External" Target="https://www.legis.iowa.gov/docs/ico/chapter/10A.727.pdf" Type="http://schemas.openxmlformats.org/officeDocument/2006/relationships/hyperlink" Id="rId55"/>
    <Relationship TargetMode="External" Target="https://www.legis.iowa.gov/docs/ico/chapter/10A.711-729.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