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HEALTH CARE FACILITY AUDITS</w:t>
      </w:r>
    </w:p>
    <w:p>
      <w:pPr>
        <w:spacing w:before="0" w:after="0"/>
        <w:ind w:left="120"/>
        <w:jc w:val="center"/>
      </w:pPr>
      <w:r>
        <w:rPr>
          <w:rFonts w:ascii="Times New Roman" w:hAnsi="Times New Roman"/>
          <w:b w:val="false"/>
          <w:i w:val="false"/>
          <w:color w:val="000000"/>
          <w:sz w:val="14"/>
        </w:rPr>
        <w:t>[Rules in 481—Chapter 22 transferred to 481—Chapter 31, 8/26/87]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481—22.1</w:t>
      </w:r>
      <w:r>
        <w:rPr>
          <w:rFonts w:ascii="Times New Roman" w:hAnsi="Times New Roman"/>
          <w:b/>
          <w:i w:val="false"/>
          <w:color w:val="000000"/>
          <w:sz w:val="22"/>
        </w:rPr>
        <w:t xml:space="preserve">(10A) </w:t>
      </w:r>
      <w:r>
        <w:rPr>
          <w:rFonts w:ascii="Times New Roman" w:hAnsi="Times New Roman"/>
          <w:b/>
          <w:i w:val="false"/>
          <w:color w:val="000000"/>
          <w:sz w:val="22"/>
        </w:rPr>
        <w:t xml:space="preserve">Audit occurrence. </w:t>
      </w:r>
      <w:r>
        <w:rPr>
          <w:rFonts w:ascii="Times New Roman" w:hAnsi="Times New Roman"/>
          <w:b w:val="false"/>
          <w:i w:val="false"/>
          <w:color w:val="000000"/>
          <w:sz w:val="22"/>
        </w:rPr>
        <w:t>The department audits financial records of intermediate care facilities, residential care facilities, and intermediate care facilities for the intellectually disabled on a rotating basis or upon request of the department of human services (DHS). Audits are intended to ensure compliance with the following Iowa Administrative Code chapters:</w:t>
      </w:r>
    </w:p>
    <w:p>
      <w:pPr>
        <w:spacing w:before="0" w:after="0"/>
        <w:ind w:left="120"/>
        <w:jc w:val="both"/>
      </w:pPr>
      <w:r>
        <w:rPr>
          <w:rFonts w:ascii="Times New Roman" w:hAnsi="Times New Roman"/>
          <w:b w:val="false"/>
          <w:i w:val="false"/>
          <w:color w:val="000000"/>
          <w:sz w:val="22"/>
        </w:rPr>
        <w:t>     1.   </w:t>
      </w:r>
      <w:hyperlink r:id="rId5">
        <w:r>
          <w:rPr>
            <w:rStyle w:val="Hyperlink"/>
            <w:rFonts w:ascii="Times New Roman" w:hAnsi="Times New Roman"/>
            <w:b w:val="false"/>
            <w:i w:val="false"/>
            <w:color w:val="000000"/>
            <w:sz w:val="22"/>
          </w:rPr>
          <w:t>441—Chapter 52</w:t>
        </w:r>
      </w:hyperlink>
      <w:r>
        <w:rPr>
          <w:rFonts w:ascii="Times New Roman" w:hAnsi="Times New Roman"/>
          <w:b w:val="false"/>
          <w:i w:val="false"/>
          <w:color w:val="000000"/>
          <w:sz w:val="22"/>
        </w:rPr>
        <w:t xml:space="preserve">, Payment, specifically subrule </w:t>
      </w:r>
      <w:hyperlink r:id="rId6">
        <w:r>
          <w:rPr>
            <w:rStyle w:val="Hyperlink"/>
            <w:rFonts w:ascii="Times New Roman" w:hAnsi="Times New Roman"/>
            <w:b w:val="false"/>
            <w:i w:val="false"/>
            <w:color w:val="000000"/>
            <w:sz w:val="22"/>
          </w:rPr>
          <w:t>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hyperlink r:id="rId7">
        <w:r>
          <w:rPr>
            <w:rStyle w:val="Hyperlink"/>
            <w:rFonts w:ascii="Times New Roman" w:hAnsi="Times New Roman"/>
            <w:b w:val="false"/>
            <w:i w:val="false"/>
            <w:color w:val="000000"/>
            <w:sz w:val="22"/>
          </w:rPr>
          <w:t>441—Chapter 54</w:t>
        </w:r>
      </w:hyperlink>
      <w:r>
        <w:rPr>
          <w:rFonts w:ascii="Times New Roman" w:hAnsi="Times New Roman"/>
          <w:b w:val="false"/>
          <w:i w:val="false"/>
          <w:color w:val="000000"/>
          <w:sz w:val="22"/>
        </w:rPr>
        <w:t xml:space="preserve">, Facility Participation, specifically rule </w:t>
      </w:r>
      <w:hyperlink r:id="rId8">
        <w:r>
          <w:rPr>
            <w:rStyle w:val="Hyperlink"/>
            <w:rFonts w:ascii="Times New Roman" w:hAnsi="Times New Roman"/>
            <w:b w:val="false"/>
            <w:i w:val="false"/>
            <w:color w:val="000000"/>
            <w:sz w:val="22"/>
          </w:rPr>
          <w:t>441—54.5</w:t>
        </w:r>
      </w:hyperlink>
      <w:r>
        <w:rPr>
          <w:rFonts w:ascii="Times New Roman" w:hAnsi="Times New Roman"/>
          <w:b w:val="false"/>
          <w:i w:val="false"/>
          <w:color w:val="000000"/>
          <w:sz w:val="22"/>
        </w:rPr>
        <w:t xml:space="preserve">(249) and subrule </w:t>
      </w:r>
      <w:hyperlink r:id="rId9">
        <w:r>
          <w:rPr>
            <w:rStyle w:val="Hyperlink"/>
            <w:rFonts w:ascii="Times New Roman" w:hAnsi="Times New Roman"/>
            <w:b w:val="false"/>
            <w:i w:val="false"/>
            <w:color w:val="000000"/>
            <w:sz w:val="22"/>
          </w:rPr>
          <w:t>54.8(2)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hyperlink r:id="rId10">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 xml:space="preserve">, Nursing Facilities, specifically subrule </w:t>
      </w:r>
      <w:hyperlink r:id="rId11">
        <w:r>
          <w:rPr>
            <w:rStyle w:val="Hyperlink"/>
            <w:rFonts w:ascii="Times New Roman" w:hAnsi="Times New Roman"/>
            <w:b w:val="false"/>
            <w:i w:val="false"/>
            <w:color w:val="000000"/>
            <w:sz w:val="22"/>
          </w:rPr>
          <w:t>81.4(3)</w:t>
        </w:r>
      </w:hyperlink>
      <w:r>
        <w:rPr>
          <w:rFonts w:ascii="Times New Roman" w:hAnsi="Times New Roman"/>
          <w:b w:val="false"/>
          <w:i w:val="false"/>
          <w:color w:val="000000"/>
          <w:sz w:val="22"/>
        </w:rPr>
        <w:t xml:space="preserve">, rule </w:t>
      </w:r>
      <w:hyperlink r:id="rId12">
        <w:r>
          <w:rPr>
            <w:rStyle w:val="Hyperlink"/>
            <w:rFonts w:ascii="Times New Roman" w:hAnsi="Times New Roman"/>
            <w:b w:val="false"/>
            <w:i w:val="false"/>
            <w:color w:val="000000"/>
            <w:sz w:val="22"/>
          </w:rPr>
          <w:t>441—81.10</w:t>
        </w:r>
      </w:hyperlink>
      <w:r>
        <w:rPr>
          <w:rFonts w:ascii="Times New Roman" w:hAnsi="Times New Roman"/>
          <w:b w:val="false"/>
          <w:i w:val="false"/>
          <w:color w:val="000000"/>
          <w:sz w:val="22"/>
        </w:rPr>
        <w:t xml:space="preserve">(249A) and subrule </w:t>
      </w:r>
      <w:hyperlink r:id="rId13">
        <w:r>
          <w:rPr>
            <w:rStyle w:val="Hyperlink"/>
            <w:rFonts w:ascii="Times New Roman" w:hAnsi="Times New Roman"/>
            <w:b w:val="false"/>
            <w:i w:val="false"/>
            <w:color w:val="000000"/>
            <w:sz w:val="22"/>
          </w:rPr>
          <w:t>81.14(2)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hyperlink r:id="rId14">
        <w:r>
          <w:rPr>
            <w:rStyle w:val="Hyperlink"/>
            <w:rFonts w:ascii="Times New Roman" w:hAnsi="Times New Roman"/>
            <w:b w:val="false"/>
            <w:i w:val="false"/>
            <w:color w:val="000000"/>
            <w:sz w:val="22"/>
          </w:rPr>
          <w:t>441—Chapter 82</w:t>
        </w:r>
      </w:hyperlink>
      <w:r>
        <w:rPr>
          <w:rFonts w:ascii="Times New Roman" w:hAnsi="Times New Roman"/>
          <w:b w:val="false"/>
          <w:i w:val="false"/>
          <w:color w:val="000000"/>
          <w:sz w:val="22"/>
        </w:rPr>
        <w:t xml:space="preserve">, Intermediate Care Facilities for Persons With an Intellectual Disability, specifically subrules </w:t>
      </w:r>
      <w:hyperlink r:id="rId15">
        <w:r>
          <w:rPr>
            <w:rStyle w:val="Hyperlink"/>
            <w:rFonts w:ascii="Times New Roman" w:hAnsi="Times New Roman"/>
            <w:b w:val="false"/>
            <w:i w:val="false"/>
            <w:color w:val="000000"/>
            <w:sz w:val="22"/>
          </w:rPr>
          <w:t>82.9(3)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82.17(2)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 rule not listed is used in an audit, the auditor will notify the facility.</w:t>
      </w:r>
    </w:p>
    <w:p>
      <w:pPr>
        <w:spacing w:before="0" w:after="0"/>
        <w:ind w:left="120"/>
        <w:jc w:val="both"/>
      </w:pPr>
      <w:r>
        <w:rPr>
          <w:rFonts w:ascii="Times New Roman" w:hAnsi="Times New Roman"/>
          <w:b w:val="false"/>
          <w:i w:val="false"/>
          <w:color w:val="000000"/>
          <w:sz w:val="22"/>
        </w:rPr>
        <w:t>The department acts as an agent for DHS when conducting the above audits.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481—22.2</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All information compiled during an audit is confidential according to Iowa Code sections </w:t>
      </w:r>
      <w:hyperlink r:id="rId17">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All inquiries to release information which is confidential under Iowa Code section </w:t>
      </w:r>
      <w:hyperlink r:id="rId1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must be addressed to the DHS.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Information may be added to an audit file by the subject of the audit when the subject notifies the Audits Unit, Department of Inspections and Appeals,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audit, when material is returned to DHS, DHS rules regarding fair information practices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6518C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10A.302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1/6/88, Notices 8/12/87, 12/2/87—published 1/27/88, effective 3/2/88]</w:t>
      </w:r>
    </w:p>
    <w:p>
      <w:pPr>
        <w:spacing w:before="0" w:after="0"/>
        <w:ind w:left="120"/>
        <w:jc w:val="center"/>
      </w:pPr>
      <w:r>
        <w:rPr>
          <w:rFonts w:ascii="Times New Roman" w:hAnsi="Times New Roman"/>
          <w:b w:val="false"/>
          <w:i w:val="false"/>
          <w:color w:val="000000"/>
          <w:sz w:val="21"/>
        </w:rPr>
        <w:t>[Filed 1/5/89, Notice 11/30/88—published 1/25/89, effective 3/1/89]</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6518C</w:t>
      </w:r>
      <w:r>
        <w:rPr>
          <w:rFonts w:ascii="Times New Roman" w:hAnsi="Times New Roman"/>
          <w:b w:val="false"/>
          <w:i w:val="false"/>
          <w:color w:val="000000"/>
          <w:sz w:val="21"/>
        </w:rPr>
        <w:t xml:space="preserve"> (Notice ARC 6412C, IAB 7/13/22)</w:t>
      </w:r>
      <w:r>
        <w:rPr>
          <w:rFonts w:ascii="Times New Roman" w:hAnsi="Times New Roman"/>
          <w:b w:val="false"/>
          <w:i w:val="false"/>
          <w:color w:val="000000"/>
          <w:sz w:val="21"/>
        </w:rPr>
        <w:t>, IAB 9/7/22, effective 10/12/22]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52.pdf" Type="http://schemas.openxmlformats.org/officeDocument/2006/relationships/hyperlink" Id="rId5"/>
    <Relationship TargetMode="External" Target="https://www.legis.iowa.gov/docs/iac/rule/441.52.1.pdf" Type="http://schemas.openxmlformats.org/officeDocument/2006/relationships/hyperlink" Id="rId6"/>
    <Relationship TargetMode="External" Target="https://www.legis.iowa.gov/docs/iac/chapter/441.54.pdf" Type="http://schemas.openxmlformats.org/officeDocument/2006/relationships/hyperlink" Id="rId7"/>
    <Relationship TargetMode="External" Target="https://www.legis.iowa.gov/docs/iac/rule/441.54.5.pdf" Type="http://schemas.openxmlformats.org/officeDocument/2006/relationships/hyperlink" Id="rId8"/>
    <Relationship TargetMode="External" Target="https://www.legis.iowa.gov/docs/iac/rule/441.54.8.pdf" Type="http://schemas.openxmlformats.org/officeDocument/2006/relationships/hyperlink" Id="rId9"/>
    <Relationship TargetMode="External" Target="https://www.legis.iowa.gov/docs/iac/chapter/441.81.pdf" Type="http://schemas.openxmlformats.org/officeDocument/2006/relationships/hyperlink" Id="rId10"/>
    <Relationship TargetMode="External" Target="https://www.legis.iowa.gov/docs/iac/rule/441.81.4.pdf" Type="http://schemas.openxmlformats.org/officeDocument/2006/relationships/hyperlink" Id="rId11"/>
    <Relationship TargetMode="External" Target="https://www.legis.iowa.gov/docs/iac/rule/441.81.10.pdf" Type="http://schemas.openxmlformats.org/officeDocument/2006/relationships/hyperlink" Id="rId12"/>
    <Relationship TargetMode="External" Target="https://www.legis.iowa.gov/docs/iac/rule/441.81.14.pdf" Type="http://schemas.openxmlformats.org/officeDocument/2006/relationships/hyperlink" Id="rId13"/>
    <Relationship TargetMode="External" Target="https://www.legis.iowa.gov/docs/iac/chapter/441.82.pdf" Type="http://schemas.openxmlformats.org/officeDocument/2006/relationships/hyperlink" Id="rId14"/>
    <Relationship TargetMode="External" Target="https://www.legis.iowa.gov/docs/iac/rule/441.82.9.pdf" Type="http://schemas.openxmlformats.org/officeDocument/2006/relationships/hyperlink" Id="rId15"/>
    <Relationship TargetMode="External" Target="https://www.legis.iowa.gov/docs/iac/rule/441.82.17.pdf" Type="http://schemas.openxmlformats.org/officeDocument/2006/relationships/hyperlink" Id="rId16"/>
    <Relationship TargetMode="External" Target="https://www.legis.iowa.gov/docs/ico/chapter/10A.105.pdf" Type="http://schemas.openxmlformats.org/officeDocument/2006/relationships/hyperlink" Id="rId17"/>
    <Relationship TargetMode="External" Target="https://www.legis.iowa.gov/docs/ico/chapter/217.30.pdf" Type="http://schemas.openxmlformats.org/officeDocument/2006/relationships/hyperlink" Id="rId18"/>
    <Relationship TargetMode="External" Target="https://www.legis.iowa.gov/docs/ico/chapter/217.30.pdf" Type="http://schemas.openxmlformats.org/officeDocument/2006/relationships/hyperlink" Id="rId19"/>
    <Relationship TargetMode="External" Target="https://www.legis.iowa.gov/docs/ico/chapter/10A.302.pdf" Type="http://schemas.openxmlformats.org/officeDocument/2006/relationships/hyperlink" Id="rId20"/>
    <Relationship TargetMode="External" Target="https://www.legis.iowa.gov/docs/ico/chapter/22.1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