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2061</w:t>
      </w:r>
    </w:p>
    <w:p>
      <w:pPr>
        <w:spacing w:before="0" w:after="0"/>
        <w:ind w:left="120"/>
        <w:jc w:val="center"/>
      </w:pPr>
      <w:r>
        <w:rPr>
          <w:rFonts w:ascii="Times New Roman" w:hAnsi="Times New Roman"/>
          <w:b w:val="false"/>
          <w:i w:val="false"/>
          <w:color w:val="000000"/>
          <w:sz w:val="21"/>
        </w:rPr>
        <w:t>CONTINUING EDUCATION FOR HEARING AID SPECIALISTS</w:t>
      </w:r>
    </w:p>
    <w:p>
      <w:pPr>
        <w:spacing w:before="0" w:after="0"/>
        <w:ind w:left="120"/>
        <w:jc w:val="center"/>
      </w:pPr>
      <w:r>
        <w:rPr>
          <w:rFonts w:ascii="Times New Roman" w:hAnsi="Times New Roman"/>
          <w:b w:val="false"/>
          <w:i w:val="false"/>
          <w:color w:val="000000"/>
          <w:sz w:val="14"/>
        </w:rPr>
        <w:t>[Prior to 10/30/24, see Professional Licensure Division[645] Ch 122]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481—2061.1</w:t>
      </w:r>
      <w:r>
        <w:rPr>
          <w:rFonts w:ascii="Times New Roman" w:hAnsi="Times New Roman"/>
          <w:b/>
          <w:i w:val="false"/>
          <w:color w:val="000000"/>
          <w:sz w:val="22"/>
        </w:rPr>
        <w:t xml:space="preserve">(154A)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license issued by the state to a hearing aid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hearing aid specialist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481—2061.2</w:t>
      </w:r>
      <w:r>
        <w:rPr>
          <w:rFonts w:ascii="Times New Roman" w:hAnsi="Times New Roman"/>
          <w:b/>
          <w:i w:val="false"/>
          <w:color w:val="000000"/>
          <w:sz w:val="22"/>
        </w:rPr>
        <w:t xml:space="preserve">(154A)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extends for a two-year period beginning on January 1 of each odd-numbered year and ending on December 31 of the next even-numbered year. Each biennium, each person who is licensed to practice as a hearing aid specialist in this state is required to complete a minimum of 24 hours of continuing education. A minimum of two hours will be in the content areas of Iowa hearing aid specialist law and rules, or ethics. Continuing education hours cannot be carried over to the next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2061.2(2)</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persons licensed for the first time shall not be required to complete continuing education as a prerequisite for the first renewal of their licenses. Continuing education hours acquired anytime from the initial licensing until the second license renewal may be used.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2061.2(3)</w:t>
      </w:r>
      <w:r>
        <w:rPr>
          <w:rFonts w:ascii="Times New Roman" w:hAnsi="Times New Roman"/>
          <w:b w:val="false"/>
          <w:i w:val="false"/>
          <w:color w:val="000000"/>
          <w:sz w:val="22"/>
        </w:rPr>
        <w:t> </w:t>
      </w:r>
      <w:r>
        <w:rPr>
          <w:rFonts w:ascii="Times New Roman" w:hAnsi="Times New Roman"/>
          <w:b w:val="false"/>
          <w:i w:val="false"/>
          <w:color w:val="000000"/>
          <w:sz w:val="22"/>
        </w:rPr>
        <w:t xml:space="preserve">Hours of continuing education credit may be obtained by attending and participating in a continuing education activity.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2061.2(4)</w:t>
      </w:r>
      <w:r>
        <w:rPr>
          <w:rFonts w:ascii="Times New Roman" w:hAnsi="Times New Roman"/>
          <w:b w:val="false"/>
          <w:i w:val="false"/>
          <w:color w:val="000000"/>
          <w:sz w:val="22"/>
        </w:rPr>
        <w:t> </w:t>
      </w:r>
      <w:r>
        <w:rPr>
          <w:rFonts w:ascii="Times New Roman" w:hAnsi="Times New Roman"/>
          <w:b w:val="false"/>
          <w:i w:val="false"/>
          <w:color w:val="000000"/>
          <w:sz w:val="22"/>
        </w:rPr>
        <w:t>The licensee is responsible for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481—2061.3</w:t>
      </w:r>
      <w:r>
        <w:rPr>
          <w:rFonts w:ascii="Times New Roman" w:hAnsi="Times New Roman"/>
          <w:b/>
          <w:i w:val="false"/>
          <w:color w:val="000000"/>
          <w:sz w:val="22"/>
        </w:rPr>
        <w:t xml:space="preserve">(154A,272C)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an organized program of learning fundamental to the practice of the profession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Is conducted by individuals who have specialized education, training and experience in the subject matter of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place,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Continuing education hours of credit may be obtained by completing the following in person or virtually: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Academic coursework if the coursework is offered by an accredited postsecondary educational institution. The maximum number of continuing education hours of credit for academic coursework per biennium is 15 hours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1 academic semester hour = 15 continuing education hours; and 1 academic quarter hour = 10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maximum of four hours of credit may be obtained by independent study. Independent study hours are subject to the requirements stated in the rules in this chapter and in 481—Chapter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Attending programs or conferences or business, technical, or professional seminars that enhance a licensee’s ability to provide quality hearing health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as specified in 481—subrule 2060.9(4). Hours reported for credit shall not exceed the hours required for 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8/18/00, Notice 5/17/00—published 9/6/00, effective 10/11/00]</w:t>
      </w:r>
    </w:p>
    <w:p>
      <w:pPr>
        <w:spacing w:before="0" w:after="0"/>
        <w:ind w:left="120"/>
        <w:jc w:val="center"/>
      </w:pPr>
      <w:r>
        <w:rPr>
          <w:rFonts w:ascii="Times New Roman" w:hAnsi="Times New Roman"/>
          <w:b w:val="false"/>
          <w:i w:val="false"/>
          <w:color w:val="000000"/>
          <w:sz w:val="21"/>
        </w:rPr>
        <w:t>[Filed 5/8/02, Notice 3/6/02—published 5/29/02, effective 7/3/02]</w:t>
      </w:r>
    </w:p>
    <w:p>
      <w:pPr>
        <w:spacing w:before="0" w:after="0"/>
        <w:ind w:left="120"/>
        <w:jc w:val="center"/>
      </w:pPr>
      <w:r>
        <w:rPr>
          <w:rFonts w:ascii="Times New Roman" w:hAnsi="Times New Roman"/>
          <w:b w:val="false"/>
          <w:i w:val="false"/>
          <w:color w:val="000000"/>
          <w:sz w:val="21"/>
        </w:rPr>
        <w:t>[Filed 8/5/05, Notice 5/25/05—published 8/31/05, effective 10/5/05]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9424B</w:t>
      </w:r>
      <w:r>
        <w:rPr>
          <w:rFonts w:ascii="Times New Roman" w:hAnsi="Times New Roman"/>
          <w:b w:val="false"/>
          <w:i w:val="false"/>
          <w:color w:val="000000"/>
          <w:sz w:val="21"/>
        </w:rPr>
        <w:t xml:space="preserve"> (Notice ARC 9317B, IAB 12/29/10)</w:t>
      </w:r>
      <w:r>
        <w:rPr>
          <w:rFonts w:ascii="Times New Roman" w:hAnsi="Times New Roman"/>
          <w:b w:val="false"/>
          <w:i w:val="false"/>
          <w:color w:val="000000"/>
          <w:sz w:val="21"/>
        </w:rPr>
        <w:t>, IAB 3/9/11, effective 4/13/11]</w:t>
      </w:r>
    </w:p>
    <w:p>
      <w:pPr>
        <w:spacing w:before="0" w:after="0"/>
        <w:ind w:left="120"/>
        <w:jc w:val="center"/>
      </w:pPr>
      <w:r>
        <w:rPr>
          <w:rFonts w:ascii="Times New Roman" w:hAnsi="Times New Roman"/>
          <w:b w:val="false"/>
          <w:i w:val="false"/>
          <w:color w:val="000000"/>
          <w:sz w:val="21"/>
        </w:rPr>
        <w:t>[Filed ARC 1005C</w:t>
      </w:r>
      <w:r>
        <w:rPr>
          <w:rFonts w:ascii="Times New Roman" w:hAnsi="Times New Roman"/>
          <w:b w:val="false"/>
          <w:i w:val="false"/>
          <w:color w:val="000000"/>
          <w:sz w:val="21"/>
        </w:rPr>
        <w:t xml:space="preserve"> (Notice ARC 0792C, IAB 6/12/13)</w:t>
      </w:r>
      <w:r>
        <w:rPr>
          <w:rFonts w:ascii="Times New Roman" w:hAnsi="Times New Roman"/>
          <w:b w:val="false"/>
          <w:i w:val="false"/>
          <w:color w:val="000000"/>
          <w:sz w:val="21"/>
        </w:rPr>
        <w:t>, IAB 9/4/13, effective 10/9/13]</w:t>
      </w:r>
    </w:p>
    <w:p>
      <w:pPr>
        <w:spacing w:before="0" w:after="0"/>
        <w:ind w:left="120"/>
        <w:jc w:val="center"/>
      </w:pPr>
      <w:r>
        <w:rPr>
          <w:rFonts w:ascii="Times New Roman" w:hAnsi="Times New Roman"/>
          <w:b w:val="false"/>
          <w:i w:val="false"/>
          <w:color w:val="000000"/>
          <w:sz w:val="21"/>
        </w:rPr>
        <w:t>[Filed ARC 2151C</w:t>
      </w:r>
      <w:r>
        <w:rPr>
          <w:rFonts w:ascii="Times New Roman" w:hAnsi="Times New Roman"/>
          <w:b w:val="false"/>
          <w:i w:val="false"/>
          <w:color w:val="000000"/>
          <w:sz w:val="21"/>
        </w:rPr>
        <w:t xml:space="preserve"> (Notice ARC 2044C, IAB 6/24/15)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3559C</w:t>
      </w:r>
      <w:r>
        <w:rPr>
          <w:rFonts w:ascii="Times New Roman" w:hAnsi="Times New Roman"/>
          <w:b w:val="false"/>
          <w:i w:val="false"/>
          <w:color w:val="000000"/>
          <w:sz w:val="21"/>
        </w:rPr>
        <w:t xml:space="preserve"> (Notice ARC 3409C, IAB 10/25/17)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7818C</w:t>
      </w:r>
      <w:r>
        <w:rPr>
          <w:rFonts w:ascii="Times New Roman" w:hAnsi="Times New Roman"/>
          <w:b w:val="false"/>
          <w:i w:val="false"/>
          <w:color w:val="000000"/>
          <w:sz w:val="21"/>
        </w:rPr>
        <w:t xml:space="preserve"> (Notice ARC 7484C,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10/30/24]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2.pdf" Type="http://schemas.openxmlformats.org/officeDocument/2006/relationships/hyperlink" Id="rId5"/>
    <Relationship TargetMode="External" Target="https://www.legis.iowa.gov/docs/ico/chapter/154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