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HEARING AID SPECIALISTS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2060</w:t>
      </w:r>
    </w:p>
    <w:p>
      <w:pPr>
        <w:spacing w:before="0" w:after="0"/>
        <w:ind w:left="120"/>
        <w:jc w:val="center"/>
      </w:pPr>
      <w:r>
        <w:rPr>
          <w:rFonts w:ascii="Times New Roman" w:hAnsi="Times New Roman"/>
          <w:b w:val="false"/>
          <w:i w:val="false"/>
          <w:color w:val="000000"/>
          <w:sz w:val="21"/>
        </w:rPr>
        <w:t>LICENSURE OF HEARING AID SPECIALISTS</w:t>
      </w:r>
    </w:p>
    <w:p>
      <w:pPr>
        <w:spacing w:before="0" w:after="0"/>
        <w:ind w:left="120"/>
        <w:jc w:val="center"/>
      </w:pPr>
      <w:r>
        <w:rPr>
          <w:rFonts w:ascii="Times New Roman" w:hAnsi="Times New Roman"/>
          <w:b w:val="false"/>
          <w:i w:val="false"/>
          <w:color w:val="000000"/>
          <w:sz w:val="14"/>
        </w:rPr>
        <w:t>[Prior to 5/29/02, see 645—120.2(154A) to 120.6(154A) and 120.10(154A)]</w:t>
      </w:r>
    </w:p>
    <w:p>
      <w:pPr>
        <w:spacing w:before="0" w:after="0"/>
        <w:ind w:left="120"/>
        <w:jc w:val="center"/>
      </w:pPr>
      <w:r>
        <w:rPr>
          <w:rFonts w:ascii="Times New Roman" w:hAnsi="Times New Roman"/>
          <w:b w:val="false"/>
          <w:i w:val="false"/>
          <w:color w:val="000000"/>
          <w:sz w:val="14"/>
        </w:rPr>
        <w:t>[Prior to 10/30/24, see Professional Licensure Division[645] Ch 121]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481—2060.1</w:t>
      </w:r>
      <w:r>
        <w:rPr>
          <w:rFonts w:ascii="Times New Roman" w:hAnsi="Times New Roman"/>
          <w:b/>
          <w:i w:val="false"/>
          <w:color w:val="000000"/>
          <w:sz w:val="22"/>
        </w:rPr>
        <w:t xml:space="preserve">(154A)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hearing aid specialists.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“sell” </w:t>
      </w:r>
      <w:r>
        <w:rPr>
          <w:rFonts w:ascii="Times New Roman" w:hAnsi="Times New Roman"/>
          <w:b w:val="false"/>
          <w:i w:val="false"/>
          <w:color w:val="000000"/>
          <w:sz w:val="22"/>
        </w:rPr>
        <w:t>means a transfer of title or of the right to use by lease, bailment, or any other means, but excludes a wholesale transaction with a distributor or hearing aid specialist, and excludes the temporary, charitable loan or educational loan of a hearing aid without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aid specialist” </w:t>
      </w:r>
      <w:r>
        <w:rPr>
          <w:rFonts w:ascii="Times New Roman" w:hAnsi="Times New Roman"/>
          <w:b w:val="false"/>
          <w:i w:val="false"/>
          <w:color w:val="000000"/>
          <w:sz w:val="22"/>
        </w:rPr>
        <w:t xml:space="preserve">means any person engaged in the fitting, dispensing and sale of hearing aids and providing hearing aid services or maintenance by means of procedures stipulated by Iowa Code chapter </w:t>
      </w:r>
      <w:hyperlink r:id="rId5">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or the board. These rules are not intended to regulate unlicensed people who sell, dispense, market, use, distribute, or provide customer support to over-the-counter hearing aids, as regulated by the U.S.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issued by the state to a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hearing aid specialist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as a hearing aid specialist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examination” </w:t>
      </w:r>
      <w:r>
        <w:rPr>
          <w:rFonts w:ascii="Times New Roman" w:hAnsi="Times New Roman"/>
          <w:b w:val="false"/>
          <w:i w:val="false"/>
          <w:color w:val="000000"/>
          <w:sz w:val="22"/>
        </w:rPr>
        <w:t>means the standardized licensing examination of the International Hearing Society (IHS)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means the process as outlined in rule 481—2060.8(17A,147,272C)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means the process as outlined in rule 481—506.31(272C).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permit” </w:t>
      </w:r>
      <w:r>
        <w:rPr>
          <w:rFonts w:ascii="Times New Roman" w:hAnsi="Times New Roman"/>
          <w:b w:val="false"/>
          <w:i w:val="false"/>
          <w:color w:val="000000"/>
          <w:sz w:val="22"/>
        </w:rPr>
        <w:t>means a permit issued while the applicant is in training to become a licensed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“Trainee” </w:t>
      </w:r>
      <w:r>
        <w:rPr>
          <w:rFonts w:ascii="Times New Roman" w:hAnsi="Times New Roman"/>
          <w:b w:val="false"/>
          <w:i w:val="false"/>
          <w:color w:val="000000"/>
          <w:sz w:val="22"/>
        </w:rPr>
        <w:t>means the holder of a temporary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481—2060.2</w:t>
      </w:r>
      <w:r>
        <w:rPr>
          <w:rFonts w:ascii="Times New Roman" w:hAnsi="Times New Roman"/>
          <w:b/>
          <w:i w:val="false"/>
          <w:color w:val="000000"/>
          <w:sz w:val="22"/>
        </w:rPr>
        <w:t xml:space="preserve">(154A) </w:t>
      </w:r>
      <w:r>
        <w:rPr>
          <w:rFonts w:ascii="Times New Roman" w:hAnsi="Times New Roman"/>
          <w:b/>
          <w:i w:val="false"/>
          <w:color w:val="000000"/>
          <w:sz w:val="22"/>
        </w:rPr>
        <w:t xml:space="preserve">Temporary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2060.2(1)</w:t>
      </w:r>
      <w:r>
        <w:rPr>
          <w:rFonts w:ascii="Times New Roman" w:hAnsi="Times New Roman"/>
          <w:b w:val="false"/>
          <w:i w:val="false"/>
          <w:color w:val="000000"/>
          <w:sz w:val="22"/>
        </w:rPr>
        <w:t> </w:t>
      </w:r>
      <w:r>
        <w:rPr>
          <w:rFonts w:ascii="Times New Roman" w:hAnsi="Times New Roman"/>
          <w:b w:val="false"/>
          <w:i w:val="false"/>
          <w:color w:val="000000"/>
          <w:sz w:val="22"/>
        </w:rPr>
        <w:t>The applicant will submit a completed online application and pay the nonrefundable licensure fee specified in rule 481—507.7(147,154A). The application will be accompanied by a statement from the employer, which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 of supervision to be provided to the trainee;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subjects to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books and other training materials to be used for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outline of the training program to prepare the trainee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2060.2(2)</w:t>
      </w:r>
      <w:r>
        <w:rPr>
          <w:rFonts w:ascii="Times New Roman" w:hAnsi="Times New Roman"/>
          <w:b w:val="false"/>
          <w:i w:val="false"/>
          <w:color w:val="000000"/>
          <w:sz w:val="22"/>
        </w:rPr>
        <w:t> </w:t>
      </w:r>
      <w:r>
        <w:rPr>
          <w:rFonts w:ascii="Times New Roman" w:hAnsi="Times New Roman"/>
          <w:b w:val="false"/>
          <w:i w:val="false"/>
          <w:color w:val="000000"/>
          <w:sz w:val="22"/>
        </w:rPr>
        <w:t>A temporary permit is valid for one year and shall not be renewable.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2060.2(3)</w:t>
      </w:r>
      <w:r>
        <w:rPr>
          <w:rFonts w:ascii="Times New Roman" w:hAnsi="Times New Roman"/>
          <w:b w:val="false"/>
          <w:i w:val="false"/>
          <w:color w:val="000000"/>
          <w:sz w:val="22"/>
        </w:rPr>
        <w:t> </w:t>
      </w:r>
      <w:r>
        <w:rPr>
          <w:rFonts w:ascii="Times New Roman" w:hAnsi="Times New Roman"/>
          <w:b w:val="false"/>
          <w:i w:val="false"/>
          <w:color w:val="000000"/>
          <w:sz w:val="22"/>
        </w:rPr>
        <w:t>The board reserves the right to deny an application for a temporary permit or rescind a temporary permit once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481—2060.3</w:t>
      </w:r>
      <w:r>
        <w:rPr>
          <w:rFonts w:ascii="Times New Roman" w:hAnsi="Times New Roman"/>
          <w:b/>
          <w:i w:val="false"/>
          <w:color w:val="000000"/>
          <w:sz w:val="22"/>
        </w:rPr>
        <w:t xml:space="preserve">(154A) </w:t>
      </w:r>
      <w:r>
        <w:rPr>
          <w:rFonts w:ascii="Times New Roman" w:hAnsi="Times New Roman"/>
          <w:b/>
          <w:i w:val="false"/>
          <w:color w:val="000000"/>
          <w:sz w:val="22"/>
        </w:rPr>
        <w:t xml:space="preserve">Supervision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2060.3(1)</w:t>
      </w:r>
      <w:r>
        <w:rPr>
          <w:rFonts w:ascii="Times New Roman" w:hAnsi="Times New Roman"/>
          <w:b w:val="false"/>
          <w:i w:val="false"/>
          <w:color w:val="000000"/>
          <w:sz w:val="22"/>
        </w:rPr>
        <w:t> </w:t>
      </w:r>
      <w:r>
        <w:rPr>
          <w:rFonts w:ascii="Times New Roman" w:hAnsi="Times New Roman"/>
          <w:b w:val="false"/>
          <w:i w:val="false"/>
          <w:color w:val="000000"/>
          <w:sz w:val="22"/>
        </w:rPr>
        <w:t>The supervisor(s) of temporary permit holders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current hearing aid specialist license valid for the preceding 24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two years of actual experience in testing, fitting, and dispensing of hearing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Supervise no more than three trainees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responsible for training the temporary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the first 90 days, provide a minimum of 20 hours of direct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direct supervision for any client activity that would require dispensing of hearing aids, including evaluation, selection, fitting or selling of hearing aids in the first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Evaluate the audiograms and determine which hearing aid and ear mold will best compensate for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Cosign all audiometric evaluations and contracts processed by the trainee for the duration of the temporary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Submit, on a board-approved form, a supervision report for trainees prior to taking the board-approved examination. A supervision report is required each time the temporary permit holder submits a request to take the 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Notify the board within 15 days of the termination of the holder of a temporary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2060.3(2)</w:t>
      </w:r>
      <w:r>
        <w:rPr>
          <w:rFonts w:ascii="Times New Roman" w:hAnsi="Times New Roman"/>
          <w:b w:val="false"/>
          <w:i w:val="false"/>
          <w:color w:val="000000"/>
          <w:sz w:val="22"/>
        </w:rPr>
        <w:t> </w:t>
      </w:r>
      <w:r>
        <w:rPr>
          <w:rFonts w:ascii="Times New Roman" w:hAnsi="Times New Roman"/>
          <w:b w:val="false"/>
          <w:i w:val="false"/>
          <w:color w:val="000000"/>
          <w:sz w:val="22"/>
        </w:rPr>
        <w:t>A trainee with a temporary permit will notify the board in writing within ten days of an interruption of training due to loss of supervision and within 30 days, obtain a replacement supervisor for continuance of the training period. A statement will be signed by each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2060.3(3)</w:t>
      </w:r>
      <w:r>
        <w:rPr>
          <w:rFonts w:ascii="Times New Roman" w:hAnsi="Times New Roman"/>
          <w:b w:val="false"/>
          <w:i w:val="false"/>
          <w:color w:val="000000"/>
          <w:sz w:val="22"/>
        </w:rPr>
        <w:t> </w:t>
      </w:r>
      <w:r>
        <w:rPr>
          <w:rFonts w:ascii="Times New Roman" w:hAnsi="Times New Roman"/>
          <w:b w:val="false"/>
          <w:i w:val="false"/>
          <w:color w:val="000000"/>
          <w:sz w:val="22"/>
        </w:rPr>
        <w:t>If a statement by the replacement supervisor is not submitted, the trainee will revert to new trainee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481—2060.4</w:t>
      </w:r>
      <w:r>
        <w:rPr>
          <w:rFonts w:ascii="Times New Roman" w:hAnsi="Times New Roman"/>
          <w:b/>
          <w:i w:val="false"/>
          <w:color w:val="000000"/>
          <w:sz w:val="22"/>
        </w:rPr>
        <w:t xml:space="preserve">(154A) </w:t>
      </w:r>
      <w:r>
        <w:rPr>
          <w:rFonts w:ascii="Times New Roman" w:hAnsi="Times New Roman"/>
          <w:b/>
          <w:i w:val="false"/>
          <w:color w:val="000000"/>
          <w:sz w:val="22"/>
        </w:rPr>
        <w:t xml:space="preserve">Requirements for initial licensure. </w:t>
      </w:r>
      <w:r>
        <w:rPr>
          <w:rFonts w:ascii="Times New Roman" w:hAnsi="Times New Roman"/>
          <w:b w:val="false"/>
          <w:i w:val="false"/>
          <w:color w:val="000000"/>
          <w:sz w:val="22"/>
        </w:rPr>
        <w:t>The following criteria applies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2060.4(1)</w:t>
      </w:r>
      <w:r>
        <w:rPr>
          <w:rFonts w:ascii="Times New Roman" w:hAnsi="Times New Roman"/>
          <w:b w:val="false"/>
          <w:i w:val="false"/>
          <w:color w:val="000000"/>
          <w:sz w:val="22"/>
        </w:rPr>
        <w:t> </w:t>
      </w:r>
      <w:r>
        <w:rPr>
          <w:rFonts w:ascii="Times New Roman" w:hAnsi="Times New Roman"/>
          <w:b w:val="false"/>
          <w:i w:val="false"/>
          <w:color w:val="000000"/>
          <w:sz w:val="22"/>
        </w:rPr>
        <w:t>The applicant will submit a completed online application and pay the nonrefundable licensure fee specified in rule 481—507.7(147,154A).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2060.4(2)</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verification of passing one of the following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examination through the International Hearing Society. The applicant may not take the national test through IHS more than six times without board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Praxis Examination in audiology through the Educational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2060.4(3)</w:t>
      </w:r>
      <w:r>
        <w:rPr>
          <w:rFonts w:ascii="Times New Roman" w:hAnsi="Times New Roman"/>
          <w:b w:val="false"/>
          <w:i w:val="false"/>
          <w:color w:val="000000"/>
          <w:sz w:val="22"/>
        </w:rPr>
        <w:t> </w:t>
      </w:r>
      <w:r>
        <w:rPr>
          <w:rFonts w:ascii="Times New Roman" w:hAnsi="Times New Roman"/>
          <w:b w:val="false"/>
          <w:i w:val="false"/>
          <w:color w:val="000000"/>
          <w:sz w:val="22"/>
        </w:rPr>
        <w:t>Applicants who hold a temporary permit are required to submit a supervisory report in accordance with paragraph 2060.3(1)</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2060.4(4)</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2060.4(5)</w:t>
      </w:r>
      <w:r>
        <w:rPr>
          <w:rFonts w:ascii="Times New Roman" w:hAnsi="Times New Roman"/>
          <w:b w:val="false"/>
          <w:i w:val="false"/>
          <w:color w:val="000000"/>
          <w:sz w:val="22"/>
        </w:rPr>
        <w:t> </w:t>
      </w:r>
      <w:r>
        <w:rPr>
          <w:rFonts w:ascii="Times New Roman" w:hAnsi="Times New Roman"/>
          <w:b w:val="false"/>
          <w:i w:val="false"/>
          <w:color w:val="000000"/>
          <w:sz w:val="22"/>
        </w:rPr>
        <w:t>An applicant who has relocated to Iowa from a state that did not require licensure to practice the profession may submit proof of work experience in lieu of educational and training requirements, if eligible, in accordance with rule 481—501.2(272C).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2060.4(6)</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 considered invalid and destroyed unless requested in writing by the candidate.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481—2060.5</w:t>
      </w:r>
      <w:r>
        <w:rPr>
          <w:rFonts w:ascii="Times New Roman" w:hAnsi="Times New Roman"/>
          <w:b/>
          <w:i w:val="false"/>
          <w:color w:val="000000"/>
          <w:sz w:val="22"/>
        </w:rPr>
        <w:t xml:space="preserve">(154A)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2060.5(1)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have been a licensed hearing aid specialist under the laws of another jurisdiction may apply for licensure by endorsement by submitting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the applicant meets the requirements of rule 481—2060.4(154A);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licensure requirements that are similar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verification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passing score on the national examination determined by the International Hearing Society;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passing score on an examination that the board determines is equivalent to the national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from the National Board for Certification in Hearing Instrument Sciences;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Completing a minimum of 32 continuing education hours within the 24 months prior to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Continuing education certificates that verify that the minimum hours of continuing education required by a state(s) in which the licensee is currently licensed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2060.5(2)</w:t>
      </w:r>
      <w:r>
        <w:rPr>
          <w:rFonts w:ascii="Times New Roman" w:hAnsi="Times New Roman"/>
          <w:b w:val="false"/>
          <w:i w:val="false"/>
          <w:color w:val="000000"/>
          <w:sz w:val="22"/>
        </w:rPr>
        <w:t> </w:t>
      </w:r>
      <w:r>
        <w:rPr>
          <w:rFonts w:ascii="Times New Roman" w:hAnsi="Times New Roman"/>
          <w:b w:val="false"/>
          <w:i w:val="false"/>
          <w:color w:val="000000"/>
          <w:sz w:val="22"/>
        </w:rPr>
        <w:t>A person who is licensed in another jurisdiction but who is unable to satisfy the requirements for licensure by endorsement may apply for licensure by verification, if eligible, in accordance with rule 481—501.1(272C).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481—2060.6</w:t>
      </w:r>
      <w:r>
        <w:rPr>
          <w:rFonts w:ascii="Times New Roman" w:hAnsi="Times New Roman"/>
          <w:b/>
          <w:i w:val="false"/>
          <w:color w:val="000000"/>
          <w:sz w:val="22"/>
        </w:rPr>
        <w:t xml:space="preserve">(154A) </w:t>
      </w:r>
      <w:r>
        <w:rPr>
          <w:rFonts w:ascii="Times New Roman" w:hAnsi="Times New Roman"/>
          <w:b/>
          <w:i w:val="false"/>
          <w:color w:val="000000"/>
          <w:sz w:val="22"/>
        </w:rPr>
        <w:t xml:space="preserve">Display of license. </w:t>
      </w:r>
      <w:r>
        <w:rPr>
          <w:rFonts w:ascii="Times New Roman" w:hAnsi="Times New Roman"/>
          <w:b w:val="false"/>
          <w:i w:val="false"/>
          <w:color w:val="000000"/>
          <w:sz w:val="22"/>
        </w:rPr>
        <w:t>Hearing aid specialists will display their original licenses in a conspicuous public place at the primary site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481—2060.7</w:t>
      </w:r>
      <w:r>
        <w:rPr>
          <w:rFonts w:ascii="Times New Roman" w:hAnsi="Times New Roman"/>
          <w:b/>
          <w:i w:val="false"/>
          <w:color w:val="000000"/>
          <w:sz w:val="22"/>
        </w:rPr>
        <w:t xml:space="preserve">(154A)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hearing aid specialist license will begin on January 1 of each odd-numbered year and end on December 31 of the next even-numbered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2060.7(2)</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 the continuing education requirements of rule 481—2061.2(154A) and the mandatory reporting requirements of subrule 2060.9(4).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An individual who was issued a license within six months of the license renewal date will not be required to renew the license until the next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2060.7(3)</w:t>
      </w:r>
      <w:r>
        <w:rPr>
          <w:rFonts w:ascii="Times New Roman" w:hAnsi="Times New Roman"/>
          <w:b w:val="false"/>
          <w:i w:val="false"/>
          <w:color w:val="000000"/>
          <w:sz w:val="22"/>
        </w:rPr>
        <w:t> </w:t>
      </w:r>
      <w:r>
        <w:rPr>
          <w:rFonts w:ascii="Times New Roman" w:hAnsi="Times New Roman"/>
          <w:b w:val="false"/>
          <w:i w:val="false"/>
          <w:color w:val="000000"/>
          <w:sz w:val="22"/>
        </w:rPr>
        <w:t>Late renewal. The license will become late when the license has not been renewed by the expiration date on the renewal. The licensee will be assessed a late fee as specified in 481—subrule 507.7(4).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examines, attends, counsels, or treats children, dependent adults or both in the scope of the licensee’s professional practice will complete the applicable department of health and human services training relating to the identification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select licensees for audit of compliance with the requirements in rule 481—2061.2(154A).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If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2060.7(6)</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until the license is reactivated.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2060.8(1)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reactivation application and payment of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2060.8(2)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hearing aid specialist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will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license(s) from the jurisdiction in which the applicant has most recently been licensed showing the licensee’s name, date of initial licensure, current licensure status and any disciplinary action taken against the license;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24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license(s) from the jurisdiction in which the applicant has most recently been licensed showing the licensee’s name, date of initial licensure, current licensure status and any disciplinary action taken against the license;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48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as a hearing aid specialist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5/8/02, Notice 3/6/02—published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8/5/05, Notice 5/25/05—published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5069C</w:t>
      </w:r>
      <w:r>
        <w:rPr>
          <w:rFonts w:ascii="Times New Roman" w:hAnsi="Times New Roman"/>
          <w:b w:val="false"/>
          <w:i w:val="false"/>
          <w:color w:val="000000"/>
          <w:sz w:val="21"/>
        </w:rPr>
        <w:t xml:space="preserve"> (Notice ARC 4786C, IAB 12/4/19)</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5756C</w:t>
      </w:r>
      <w:r>
        <w:rPr>
          <w:rFonts w:ascii="Times New Roman" w:hAnsi="Times New Roman"/>
          <w:b w:val="false"/>
          <w:i w:val="false"/>
          <w:color w:val="000000"/>
          <w:sz w:val="21"/>
        </w:rPr>
        <w:t xml:space="preserve"> (Notice ARC 5445C,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6998C</w:t>
      </w:r>
      <w:r>
        <w:rPr>
          <w:rFonts w:ascii="Times New Roman" w:hAnsi="Times New Roman"/>
          <w:b w:val="false"/>
          <w:i w:val="false"/>
          <w:color w:val="000000"/>
          <w:sz w:val="21"/>
        </w:rPr>
        <w:t xml:space="preserve"> (Notice ARC 6649C,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7817C</w:t>
      </w:r>
      <w:r>
        <w:rPr>
          <w:rFonts w:ascii="Times New Roman" w:hAnsi="Times New Roman"/>
          <w:b w:val="false"/>
          <w:i w:val="false"/>
          <w:color w:val="000000"/>
          <w:sz w:val="21"/>
        </w:rPr>
        <w:t xml:space="preserve"> (Notice ARC 7483C,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p>
      <w:pPr>
        <w:spacing w:before="0" w:after="0"/>
        <w:ind w:left="120"/>
        <w:jc w:val="center"/>
      </w:pPr>
      <w:r>
        <w:rPr>
          <w:rFonts w:ascii="Times New Roman" w:hAnsi="Times New Roman"/>
          <w:b w:val="false"/>
          <w:i w:val="false"/>
          <w:color w:val="000000"/>
          <w:sz w:val="21"/>
        </w:rPr>
        <w:t>[Editorial change: IAC Supplement 4/2/25]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4A.pdf" Type="http://schemas.openxmlformats.org/officeDocument/2006/relationships/hyperlink" Id="rId8"/>
    <Relationship TargetMode="External" Target="https://www.legis.iowa.gov/docs/ico/chapter/272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