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26.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BINGO</w:t>
      </w:r>
    </w:p>
    <w:p>
      <w:pPr>
        <w:spacing w:before="0" w:after="0"/>
        <w:ind w:left="120"/>
        <w:jc w:val="center"/>
      </w:pPr>
      <w:r>
        <w:rPr>
          <w:rFonts w:ascii="Times New Roman" w:hAnsi="Times New Roman"/>
          <w:b w:val="false"/>
          <w:i w:val="false"/>
          <w:color w:val="000000"/>
          <w:sz w:val="14"/>
        </w:rPr>
        <w:t>[Prior to 12/17/86, Revenue Department[730], Ch 94]</w:t>
      </w:r>
    </w:p>
    <w:p>
      <w:pPr>
        <w:spacing w:before="0" w:after="0"/>
        <w:ind w:left="120"/>
        <w:jc w:val="center"/>
      </w:pPr>
      <w:r>
        <w:rPr>
          <w:rFonts w:ascii="Times New Roman" w:hAnsi="Times New Roman"/>
          <w:b w:val="false"/>
          <w:i w:val="false"/>
          <w:color w:val="000000"/>
          <w:sz w:val="14"/>
        </w:rPr>
        <w:t>[Prior to 11/18/87, Racing and Gaming Division[195]]</w:t>
      </w:r>
    </w:p>
    <w:p>
      <w:pPr>
        <w:spacing w:before="0" w:after="0"/>
        <w:ind w:left="120"/>
        <w:jc w:val="center"/>
      </w:pPr>
      <w:r>
        <w:rPr>
          <w:rFonts w:ascii="Times New Roman" w:hAnsi="Times New Roman"/>
          <w:b w:val="false"/>
          <w:i w:val="false"/>
          <w:color w:val="000000"/>
          <w:sz w:val="14"/>
        </w:rPr>
        <w:t>[Prior to 6/14/89, Racing and Gaming Division[491], Ch 23]</w:t>
      </w:r>
    </w:p>
    <w:p>
      <w:pPr>
        <w:spacing w:before="0" w:after="0"/>
        <w:ind w:left="120"/>
        <w:jc w:val="center"/>
      </w:pPr>
      <w:r>
        <w:rPr>
          <w:rFonts w:ascii="Times New Roman" w:hAnsi="Times New Roman"/>
          <w:b w:val="false"/>
          <w:i w:val="false"/>
          <w:color w:val="000000"/>
          <w:sz w:val="14"/>
        </w:rPr>
        <w:t>[Prior to 9/5/90, this chapter was entitled “Qualified 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481—103.1</w:t>
      </w:r>
      <w:r>
        <w:rPr>
          <w:rFonts w:ascii="Times New Roman" w:hAnsi="Times New Roman"/>
          <w:b/>
          <w:i w:val="false"/>
          <w:color w:val="000000"/>
          <w:sz w:val="22"/>
        </w:rPr>
        <w:t xml:space="preserve">(99B)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definitions found in Iowa Code chapter </w:t>
      </w:r>
      <w:hyperlink r:id="rId5">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and in </w:t>
      </w:r>
      <w:hyperlink r:id="rId6">
        <w:r>
          <w:rPr>
            <w:rStyle w:val="Hyperlink"/>
            <w:rFonts w:ascii="Times New Roman" w:hAnsi="Times New Roman"/>
            <w:b w:val="false"/>
            <w:i w:val="false"/>
            <w:color w:val="000000"/>
            <w:sz w:val="22"/>
          </w:rPr>
          <w:t>rule 481—100.1</w:t>
        </w:r>
      </w:hyperlink>
      <w:r>
        <w:rPr>
          <w:rFonts w:ascii="Times New Roman" w:hAnsi="Times New Roman"/>
          <w:b w:val="false"/>
          <w:i w:val="false"/>
          <w:color w:val="000000"/>
          <w:sz w:val="22"/>
        </w:rPr>
        <w:t>(99B), the following definitions apply to all qualified organizations where bingo is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“Cash” </w:t>
      </w:r>
      <w:r>
        <w:rPr>
          <w:rFonts w:ascii="Times New Roman" w:hAnsi="Times New Roman"/>
          <w:b w:val="false"/>
          <w:i w:val="false"/>
          <w:color w:val="000000"/>
          <w:sz w:val="22"/>
        </w:rPr>
        <w:t>means any legal tender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w:t>
      </w:r>
      <w:r>
        <w:rPr>
          <w:rFonts w:ascii="Times New Roman" w:hAnsi="Times New Roman"/>
          <w:b w:val="false"/>
          <w:i w:val="false"/>
          <w:color w:val="000000"/>
          <w:sz w:val="22"/>
        </w:rPr>
        <w:t>means the name given to a particular type of playing face to distinguish one from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“Limited license” </w:t>
      </w:r>
      <w:r>
        <w:rPr>
          <w:rFonts w:ascii="Times New Roman" w:hAnsi="Times New Roman"/>
          <w:b w:val="false"/>
          <w:i w:val="false"/>
          <w:color w:val="000000"/>
          <w:sz w:val="22"/>
        </w:rPr>
        <w:t>means a 14-day license issued only to a qualified organization. There are no limits on the number of games played or occasions held, except that only two bingo occasions may be held during the period of 14 days, with no limit on the number of bingo games or the number of hours played during each designated bingo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“Playing face” </w:t>
      </w:r>
      <w:r>
        <w:rPr>
          <w:rFonts w:ascii="Times New Roman" w:hAnsi="Times New Roman"/>
          <w:b w:val="false"/>
          <w:i w:val="false"/>
          <w:color w:val="000000"/>
          <w:sz w:val="22"/>
        </w:rPr>
        <w:t>means the grid on which a player marks numbers and letters called as the game progresses.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481—103.2</w:t>
      </w:r>
      <w:r>
        <w:rPr>
          <w:rFonts w:ascii="Times New Roman" w:hAnsi="Times New Roman"/>
          <w:b/>
          <w:i w:val="false"/>
          <w:color w:val="000000"/>
          <w:sz w:val="22"/>
        </w:rPr>
        <w:t xml:space="preserve">(99B) </w:t>
      </w:r>
      <w:r>
        <w:rPr>
          <w:rFonts w:ascii="Times New Roman" w:hAnsi="Times New Roman"/>
          <w:b/>
          <w:i w:val="false"/>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required—exception. </w:t>
      </w:r>
      <w:r>
        <w:rPr>
          <w:rFonts w:ascii="Times New Roman" w:hAnsi="Times New Roman"/>
          <w:b w:val="false"/>
          <w:i w:val="false"/>
          <w:color w:val="000000"/>
          <w:sz w:val="22"/>
        </w:rPr>
        <w:t>A license is required in order to conduct a bingo occasion unless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Participants in the bingo occasion are not charged to enter the premises where bingo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Participants in the bingo occasion are not charged to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prize awarded at the bingo occasion is donated.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bingo occasion is conducted as an activity and not for fundraising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Bingo occasions are restricted to the location for which application is made by the qualified organization and approved by the department. For good cause, a license may be transferred to a different location only after written notice by the licensee and approval by the department. “Good cause,” for purposes of this subrule, may include flood, fire or other natural disasters; sale of the building; or nonrenewal of 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Before any organization may conduct bingo, a license application must be approved by the department. Application and license requirements are found in rules 481—100.3(99B), 481—100.4(99B), and 481—100.5(99B).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are examples of circumstances affecting whether a license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Qualified organization ABC applies for and is issued a two-year qualified organization license to conduct bingo at 1002 West 2nd Avenue in Jones Town, Iowa. The license is effective from October 1, 2017, to September 30, 2019. On November 15, 2017, qualified organization EFG applies for a two-year qualified organization license for the same location. A license may be issued to organization EFG for the same location during the same period to conduct any games of chance, games of skill or raffles. Organization EFG shall not conduct bingo at the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Hometown Community School applies for and is issued a two-year qualified organization license to conduct games of skill, games of chance and raffles at the grade school building. The license is effective from September 1, 2017, to August 31, 2019. During the time that the Hometown Community School license is in effect, the school-sponsored pep club applies for a 14-day limited license to conduct games of skill at the grade school building. The school-sponsored pep club may be issued a limited license for the same location during the same time. Under this example, the school-sponsored pep club would not be required to obtain a separate license, because school-affiliated organizations may operate separate events under a school’s two-year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6976C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481—103.3</w:t>
      </w:r>
      <w:r>
        <w:rPr>
          <w:rFonts w:ascii="Times New Roman" w:hAnsi="Times New Roman"/>
          <w:b/>
          <w:i w:val="false"/>
          <w:color w:val="000000"/>
          <w:sz w:val="22"/>
        </w:rPr>
        <w:t xml:space="preserve">(99B) </w:t>
      </w:r>
      <w:r>
        <w:rPr>
          <w:rFonts w:ascii="Times New Roman" w:hAnsi="Times New Roman"/>
          <w:b/>
          <w:i w:val="false"/>
          <w:color w:val="000000"/>
          <w:sz w:val="22"/>
        </w:rPr>
        <w:t xml:space="preserve">Bingo occasion. </w:t>
      </w:r>
      <w:r>
        <w:rPr>
          <w:rFonts w:ascii="Times New Roman" w:hAnsi="Times New Roman"/>
          <w:b w:val="false"/>
          <w:i w:val="false"/>
          <w:color w:val="000000"/>
          <w:sz w:val="22"/>
        </w:rPr>
        <w:t>A qualified organization may conduct only 3 bingo occasions per week, but not more than 15 occasions per month, under a two-year qualified organization license. A week starts on Sunday and ends on Saturday. At the end of each occasion, the person conducting the games shall announce both the gross receipts and the use to which the net receipts will be dedicated and distributed.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481—103.4</w:t>
      </w:r>
      <w:r>
        <w:rPr>
          <w:rFonts w:ascii="Times New Roman" w:hAnsi="Times New Roman"/>
          <w:b/>
          <w:i w:val="false"/>
          <w:color w:val="000000"/>
          <w:sz w:val="22"/>
        </w:rPr>
        <w:t xml:space="preserve">(99B) </w:t>
      </w:r>
      <w:r>
        <w:rPr>
          <w:rFonts w:ascii="Times New Roman" w:hAnsi="Times New Roman"/>
          <w:b/>
          <w:i w:val="false"/>
          <w:color w:val="000000"/>
          <w:sz w:val="22"/>
        </w:rPr>
        <w:t xml:space="preserve">Game of bingo. </w:t>
      </w:r>
      <w:r>
        <w:rPr>
          <w:rFonts w:ascii="Times New Roman" w:hAnsi="Times New Roman"/>
          <w:b w:val="false"/>
          <w:i w:val="false"/>
          <w:color w:val="000000"/>
          <w:sz w:val="22"/>
        </w:rPr>
        <w:t xml:space="preserve">Each game shall meet all of the requirements of the definition of “bingo” in Iowa Code section </w:t>
      </w:r>
      <w:hyperlink r:id="rId7">
        <w:r>
          <w:rPr>
            <w:rStyle w:val="Hyperlink"/>
            <w:rFonts w:ascii="Times New Roman" w:hAnsi="Times New Roman"/>
            <w:b w:val="false"/>
            <w:i w:val="false"/>
            <w:color w:val="000000"/>
            <w:sz w:val="22"/>
          </w:rPr>
          <w:t>99B.1(4)</w:t>
        </w:r>
      </w:hyperlink>
      <w:r>
        <w:rPr>
          <w:rFonts w:ascii="Times New Roman" w:hAnsi="Times New Roman"/>
          <w:b w:val="false"/>
          <w:i w:val="false"/>
          <w:color w:val="000000"/>
          <w:sz w:val="22"/>
        </w:rPr>
        <w:t xml:space="preserve"> to be a legal game of bingo. Games ordinarily considered bingo may be played.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val="false"/>
          <w:color w:val="000000"/>
          <w:sz w:val="22"/>
        </w:rPr>
        <w:t>A fair and legal game shall meet at least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Concealed numbers on a playing face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game requires an announcer or caller.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Numbers shall be announced so all players can hear clearly.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free space or spaces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game proceeds as the caller selects and announces the numbers. If a caller miscalls a number or misreads a ball, only the number on the ball may be used. Miscalled numbers are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 Rules established by the licensee may require that a player have the last number called for a bingo. If not posted in the rules established by the licensee, the player is not required to have the last number called.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game ends when it is determined that a player has covered the announced pattern of spaces. The caller or another worker shall verify the numbers on winning cards. The caller checks for additional bingos and officially closes the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Wild numbers are allowed, but must be chosen using a random selection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val="false"/>
          <w:color w:val="000000"/>
          <w:sz w:val="22"/>
        </w:rPr>
        <w:t>Any player may request that all numbers drawn and all numbers not drawn be verified when the winning card or cards are verified. Numbers shall be verified in the presence of the member in charge and the caller. The player who requested verification may observe the 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val="false"/>
          <w:color w:val="000000"/>
          <w:sz w:val="22"/>
        </w:rPr>
        <w:t>The cost to play each game shall not exceed $5. Cards or games may be sold only within the premises of the bingo occasion. The cost for each packet, playing face, or tear sheet shall be the same for each participant, i.e., the cost for an opportunity to play shall be equal. Players may pay for games with cash, personal check, money order, bank check, cashier’s check, electronic check, or debit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cards or games shall be assigned a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price shall be posted. Cards may be sold only for the posted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Free games shall not be given. Free games include gift cards redeemable for games. This paragraph does not prohibit giving free concession items such as food, beverages or daubers.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val="false"/>
          <w:color w:val="000000"/>
          <w:sz w:val="22"/>
        </w:rPr>
        <w:t>Cards for each category shall be distinctly marked. Each shall be easy to distinguish from all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Bingo games or cards may be printed on only one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each game, the bingo operator must ensure that duplicate playing faces are not sold.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w:t>
      </w:r>
      <w:r>
        <w:rPr>
          <w:rFonts w:ascii="Times New Roman" w:hAnsi="Times New Roman"/>
          <w:b/>
          <w:i w:val="false"/>
          <w:color w:val="000000"/>
          <w:sz w:val="22"/>
        </w:rPr>
        <w:t xml:space="preserve">(99B) </w:t>
      </w:r>
      <w:r>
        <w:rPr>
          <w:rFonts w:ascii="Times New Roman" w:hAnsi="Times New Roman"/>
          <w:b/>
          <w:i w:val="false"/>
          <w:color w:val="000000"/>
          <w:sz w:val="22"/>
        </w:rPr>
        <w:t xml:space="preserve">State rules and rules established by the licensee. </w:t>
      </w:r>
      <w:r>
        <w:rPr>
          <w:rFonts w:ascii="Times New Roman" w:hAnsi="Times New Roman"/>
          <w:b w:val="false"/>
          <w:i w:val="false"/>
          <w:color w:val="000000"/>
          <w:sz w:val="22"/>
        </w:rPr>
        <w:t>Iowa administrative rules and rules established by the licensee must be readily available to every bingo player.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these rules, </w:t>
      </w:r>
      <w:hyperlink r:id="rId8">
        <w:r>
          <w:rPr>
            <w:rStyle w:val="Hyperlink"/>
            <w:rFonts w:ascii="Times New Roman" w:hAnsi="Times New Roman"/>
            <w:b w:val="false"/>
            <w:i w:val="false"/>
            <w:color w:val="000000"/>
            <w:sz w:val="22"/>
          </w:rPr>
          <w:t>481—Chapter 103</w:t>
        </w:r>
      </w:hyperlink>
      <w:r>
        <w:rPr>
          <w:rFonts w:ascii="Times New Roman" w:hAnsi="Times New Roman"/>
          <w:b w:val="false"/>
          <w:i w:val="false"/>
          <w:color w:val="000000"/>
          <w:sz w:val="22"/>
        </w:rPr>
        <w:t>, “Bingo,” shall be maintained at every bingo location during every bingo occasion. Bingo players who request it shall have the opportunity to read the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Rules established by the licensee shall be posted on a sign near the front of the playing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Rules shall be in large, easily readable print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mailing address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Prices to play;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Rules established by the licensee for the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Rules established by the licensee shall include how to indicate “bingo” to halt the game, how to collect a prize, and how the licensee will verify winners’ names and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Rules established by the licensee may include rules related to reserved seating and age restrictions for children to play.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correctly posted before the beginning of each bingo occasion and shall not be changed after the bingo occasion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each game to be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Price of each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Prize for each game or method for determining the prize for each game;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Jackpot rules, if any.</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Single bingo $1 per game, $50 payout.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481—103.6</w:t>
      </w:r>
      <w:r>
        <w:rPr>
          <w:rFonts w:ascii="Times New Roman" w:hAnsi="Times New Roman"/>
          <w:b/>
          <w:i w:val="false"/>
          <w:color w:val="000000"/>
          <w:sz w:val="22"/>
        </w:rPr>
        <w:t xml:space="preserve">(99B) </w:t>
      </w:r>
      <w:r>
        <w:rPr>
          <w:rFonts w:ascii="Times New Roman" w:hAnsi="Times New Roman"/>
          <w:b/>
          <w:i w:val="false"/>
          <w:color w:val="000000"/>
          <w:sz w:val="22"/>
        </w:rPr>
        <w:t xml:space="preserve">Prizes. </w:t>
      </w:r>
      <w:r>
        <w:rPr>
          <w:rFonts w:ascii="Times New Roman" w:hAnsi="Times New Roman"/>
          <w:b w:val="false"/>
          <w:i w:val="false"/>
          <w:color w:val="000000"/>
          <w:sz w:val="22"/>
        </w:rPr>
        <w:t xml:space="preserve">Cash or merchandise prizes awarded for each game shall not exceed $250 in value. Jackpot games are excepted and are governed by standards in subrule </w:t>
      </w:r>
      <w:hyperlink r:id="rId9">
        <w:r>
          <w:rPr>
            <w:rStyle w:val="Hyperlink"/>
            <w:rFonts w:ascii="Times New Roman" w:hAnsi="Times New Roman"/>
            <w:b w:val="false"/>
            <w:i w:val="false"/>
            <w:color w:val="000000"/>
            <w:sz w:val="22"/>
          </w:rPr>
          <w:t>103.6(5)</w:t>
        </w:r>
      </w:hyperlink>
      <w:r>
        <w:rPr>
          <w:rFonts w:ascii="Times New Roman" w:hAnsi="Times New Roman"/>
          <w:b w:val="false"/>
          <w:i w:val="false"/>
          <w:color w:val="000000"/>
          <w:sz w:val="22"/>
        </w:rPr>
        <w:t>. The exact amount of the prize shall be announced before the beginning of each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val="false"/>
          <w:color w:val="000000"/>
          <w:sz w:val="22"/>
        </w:rPr>
        <w:t>Prizes shall be recorded each occasion on the daily bingo summary (see Table A</w:t>
      </w:r>
      <w:r>
        <w:rPr>
          <w:rFonts w:ascii="Times New Roman" w:hAnsi="Times New Roman"/>
          <w:b w:val="false"/>
          <w:i w:val="false"/>
          <w:color w:val="000000"/>
          <w:sz w:val="10"/>
        </w:rPr>
        <w:t>1</w:t>
      </w:r>
      <w:r>
        <w:rPr>
          <w:rFonts w:ascii="Times New Roman" w:hAnsi="Times New Roman"/>
          <w:b w:val="false"/>
          <w:i w:val="false"/>
          <w:color w:val="000000"/>
          <w:sz w:val="22"/>
        </w:rPr>
        <w:t>) as they are paid by listing the number of the game; the pattern required to win; the type, color, and series of cards used in the game; and the amount of the prize. The name, address, and social security number of each jackpot winner is required.</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Prizes of more than $600 require the deduction of 5 percent withholding taxes. See paragraph </w:t>
      </w:r>
      <w:hyperlink r:id="rId10">
        <w:r>
          <w:rPr>
            <w:rStyle w:val="Hyperlink"/>
            <w:rFonts w:ascii="Times New Roman" w:hAnsi="Times New Roman"/>
            <w:b w:val="false"/>
            <w:i w:val="false"/>
            <w:color w:val="000000"/>
            <w:sz w:val="22"/>
          </w:rPr>
          <w:t>103.6(5)</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val="false"/>
          <w:color w:val="000000"/>
          <w:sz w:val="22"/>
        </w:rPr>
        <w:t>Prizes awarded in games with more than one winner shall be shared equally. It is permissible to round up or down, provided doing so does not exceed the maximum payout for that particular game.</w:t>
      </w:r>
    </w:p>
    <w:p>
      <w:pPr>
        <w:spacing w:before="0" w:after="0"/>
        <w:ind w:left="120"/>
        <w:jc w:val="both"/>
      </w:pPr>
      <w:r>
        <w:rPr>
          <w:rFonts w:ascii="Times New Roman" w:hAnsi="Times New Roman"/>
          <w:b w:val="false"/>
          <w:i w:val="false"/>
          <w:color w:val="000000"/>
          <w:sz w:val="22"/>
        </w:rPr>
        <w:t>Examples of prizes awarded in games with more than one winner: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Two winners with a total of three bingos: Player 1 has two bingos in separate squares, and Player 2 has one bingo in one square. Player 1 receives 2/3 of the prize, and Player 2 receives 1/3 of the prize.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Multiple winners equally splitting a prize with rounding to the nearest dollar: Six players all win the single $250 prize. The appropriate payout is $41.66 each, but rounding to the nearest dollar ($42) for each winner would result in a payout of $252, in violation of the maximum payout for a nonjackpot bingo game.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val="false"/>
          <w:color w:val="000000"/>
          <w:sz w:val="22"/>
        </w:rPr>
        <w:t>An animal shall not be awarded as a prize for persons participating in a game or fair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103.6(4)</w:t>
      </w:r>
      <w:r>
        <w:rPr>
          <w:rFonts w:ascii="Times New Roman" w:hAnsi="Times New Roman"/>
          <w:b w:val="false"/>
          <w:i w:val="false"/>
          <w:color w:val="000000"/>
          <w:sz w:val="22"/>
        </w:rPr>
        <w:t> </w:t>
      </w:r>
      <w:r>
        <w:rPr>
          <w:rFonts w:ascii="Times New Roman" w:hAnsi="Times New Roman"/>
          <w:b w:val="false"/>
          <w:i w:val="false"/>
          <w:color w:val="000000"/>
          <w:sz w:val="22"/>
        </w:rPr>
        <w:t xml:space="preserve">A player shall not be required to return cash or a merchandise prize won in one game in order to play a subsequent game.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w:t>
      </w:r>
      <w:r>
        <w:rPr>
          <w:rFonts w:ascii="Times New Roman" w:hAnsi="Times New Roman"/>
          <w:b w:val="false"/>
          <w:i w:val="false"/>
          <w:color w:val="000000"/>
          <w:sz w:val="22"/>
        </w:rPr>
        <w:t> </w:t>
      </w:r>
      <w:r>
        <w:rPr>
          <w:rFonts w:ascii="Times New Roman" w:hAnsi="Times New Roman"/>
          <w:b w:val="false"/>
          <w:i w:val="false"/>
          <w:color w:val="000000"/>
          <w:sz w:val="22"/>
        </w:rPr>
        <w:t>No more than two jackpot games may be played during a 24-hour period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organization is limited to two jackpot games.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jackpot starting prize shall not exceed $500 in cash or actual retail value of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jackpot prize shall not increase more than $200 after each jackpot game. The maximum prize shall not be greater than $1,000 for the first jackpot game and shall not be greater than $2,500 for the second jackpot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jackpot prize shall not decrease until it is won.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jackpot is not won in the specified number of calls, the game reverts to a regular game with a prize of $250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jackpot game shall begin again at no more than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Cash prizes over $600 require the deduction of 5 percent withholding taxes. This tax is to be withheld by the organization conducting the game. The amount deducted shall be remitted to the Iowa department of revenue on behalf of the prize winner.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99B.21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717D.2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See forms at end of this chapter.</w:t>
      </w:r>
    </w:p>
    <w:p>
      <w:pPr>
        <w:spacing w:before="0" w:after="0"/>
        <w:ind w:left="120"/>
        <w:jc w:val="both"/>
      </w:pPr>
      <w:r>
        <w:rPr>
          <w:rFonts w:ascii="Times New Roman" w:hAnsi="Times New Roman"/>
          <w:b/>
          <w:i w:val="false"/>
          <w:color w:val="000000"/>
          <w:sz w:val="22"/>
        </w:rPr>
        <w:t>481—103.7</w:t>
      </w:r>
      <w:r>
        <w:rPr>
          <w:rFonts w:ascii="Times New Roman" w:hAnsi="Times New Roman"/>
          <w:b/>
          <w:i w:val="false"/>
          <w:color w:val="000000"/>
          <w:sz w:val="22"/>
        </w:rPr>
        <w:t xml:space="preserve">(99B) </w:t>
      </w:r>
      <w:r>
        <w:rPr>
          <w:rFonts w:ascii="Times New Roman" w:hAnsi="Times New Roman"/>
          <w:b/>
          <w:i w:val="false"/>
          <w:color w:val="000000"/>
          <w:sz w:val="22"/>
        </w:rPr>
        <w:t xml:space="preserve">Workers.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103.7(1)</w:t>
      </w:r>
      <w:r>
        <w:rPr>
          <w:rFonts w:ascii="Times New Roman" w:hAnsi="Times New Roman"/>
          <w:b w:val="false"/>
          <w:i w:val="false"/>
          <w:color w:val="000000"/>
          <w:sz w:val="22"/>
        </w:rPr>
        <w:t> </w:t>
      </w:r>
      <w:r>
        <w:rPr>
          <w:rFonts w:ascii="Times New Roman" w:hAnsi="Times New Roman"/>
          <w:b w:val="false"/>
          <w:i w:val="false"/>
          <w:color w:val="000000"/>
          <w:sz w:val="22"/>
        </w:rPr>
        <w:t>Each organization must have a responsible party listed on the application. The responsible party must be an active member of the organization and should be familiar with the requirements of the Iowa law and be aware of the bingo activities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103.7(2)</w:t>
      </w:r>
      <w:r>
        <w:rPr>
          <w:rFonts w:ascii="Times New Roman" w:hAnsi="Times New Roman"/>
          <w:b w:val="false"/>
          <w:i w:val="false"/>
          <w:color w:val="000000"/>
          <w:sz w:val="22"/>
        </w:rPr>
        <w:t> </w:t>
      </w:r>
      <w:r>
        <w:rPr>
          <w:rFonts w:ascii="Times New Roman" w:hAnsi="Times New Roman"/>
          <w:b w:val="false"/>
          <w:i w:val="false"/>
          <w:color w:val="000000"/>
          <w:sz w:val="22"/>
        </w:rPr>
        <w:t>Volunteers must be actively participating members of the licensed organization or must participate in an organization to which money will be dedicated.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103.7(3)</w:t>
      </w:r>
      <w:r>
        <w:rPr>
          <w:rFonts w:ascii="Times New Roman" w:hAnsi="Times New Roman"/>
          <w:b w:val="false"/>
          <w:i w:val="false"/>
          <w:color w:val="000000"/>
          <w:sz w:val="22"/>
        </w:rPr>
        <w:t> </w:t>
      </w:r>
      <w:r>
        <w:rPr>
          <w:rFonts w:ascii="Times New Roman" w:hAnsi="Times New Roman"/>
          <w:b w:val="false"/>
          <w:i w:val="false"/>
          <w:color w:val="000000"/>
          <w:sz w:val="22"/>
        </w:rPr>
        <w:t>Paid workers shall not play during a bingo occasion in which they work. Persons conducting bingo shall not play during any bingo occasion conducted by the qualified organization for which they work. A person conducting bingo includes: persons overseeing the bingo games, persons controlling and accounting for the bingo occasion’s net receipts, persons directing the work of bingo workers, and any persons having management or oversight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w:t>
      </w:r>
      <w:r>
        <w:rPr>
          <w:rFonts w:ascii="Times New Roman" w:hAnsi="Times New Roman"/>
          <w:b w:val="false"/>
          <w:i w:val="false"/>
          <w:color w:val="000000"/>
          <w:sz w:val="22"/>
        </w:rPr>
        <w:t> </w:t>
      </w:r>
      <w:r>
        <w:rPr>
          <w:rFonts w:ascii="Times New Roman" w:hAnsi="Times New Roman"/>
          <w:b w:val="false"/>
          <w:i w:val="false"/>
          <w:color w:val="000000"/>
          <w:sz w:val="22"/>
        </w:rPr>
        <w:t>A person receiving rent for a bingo location, either directly or indirectly, shall not be involved in, participate in, or be associated with the operation of bingo games.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103.7(5)</w:t>
      </w:r>
      <w:r>
        <w:rPr>
          <w:rFonts w:ascii="Times New Roman" w:hAnsi="Times New Roman"/>
          <w:b w:val="false"/>
          <w:i w:val="false"/>
          <w:color w:val="000000"/>
          <w:sz w:val="22"/>
        </w:rPr>
        <w:t> </w:t>
      </w:r>
      <w:r>
        <w:rPr>
          <w:rFonts w:ascii="Times New Roman" w:hAnsi="Times New Roman"/>
          <w:b w:val="false"/>
          <w:i w:val="false"/>
          <w:color w:val="000000"/>
          <w:sz w:val="22"/>
        </w:rPr>
        <w:t>Anyone who sells bingo equipment or supplies to a bingo licensee shall not work for that licensee during a bingo occasion.</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481—103.8</w:t>
      </w:r>
      <w:r>
        <w:rPr>
          <w:rFonts w:ascii="Times New Roman" w:hAnsi="Times New Roman"/>
          <w:b/>
          <w:i w:val="false"/>
          <w:color w:val="000000"/>
          <w:sz w:val="22"/>
        </w:rPr>
        <w:t xml:space="preserve">(99B) </w:t>
      </w:r>
      <w:r>
        <w:rPr>
          <w:rFonts w:ascii="Times New Roman" w:hAnsi="Times New Roman"/>
          <w:b/>
          <w:i w:val="false"/>
          <w:color w:val="000000"/>
          <w:sz w:val="22"/>
        </w:rPr>
        <w:t xml:space="preserve">Expenses. </w:t>
      </w:r>
      <w:r>
        <w:rPr>
          <w:rFonts w:ascii="Times New Roman" w:hAnsi="Times New Roman"/>
          <w:b w:val="false"/>
          <w:i w:val="false"/>
          <w:color w:val="000000"/>
          <w:sz w:val="22"/>
        </w:rPr>
        <w:t>Expenses incurred exclusively and directly as a result of bingo shall not exceed 40 percent of net receipts. Reasonable expenses within the 40 percent limit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license fee;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Withholding, unemployment or social security taxes;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Promotion cost;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Equipment and supply purchases;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Rent for bingo occasion;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Utilities for bingo occasion;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Wages paid for bingo workers.</w:t>
      </w:r>
    </w:p>
    <w:p>
      <w:pPr>
        <w:spacing w:before="0" w:after="0"/>
        <w:ind w:left="120"/>
        <w:jc w:val="both"/>
      </w:pPr>
      <w:r>
        <w:rPr>
          <w:rFonts w:ascii="Times New Roman" w:hAnsi="Times New Roman"/>
          <w:b w:val="false"/>
          <w:i w:val="false"/>
          <w:color w:val="000000"/>
          <w:sz w:val="22"/>
        </w:rPr>
        <w:t>Expense items are allowed only when receipts or a paid invoice and canceled check are available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103.8(1)</w:t>
      </w:r>
      <w:r>
        <w:rPr>
          <w:rFonts w:ascii="Times New Roman" w:hAnsi="Times New Roman"/>
          <w:b w:val="false"/>
          <w:i w:val="false"/>
          <w:color w:val="000000"/>
          <w:sz w:val="22"/>
        </w:rPr>
        <w:t> </w:t>
      </w:r>
      <w:r>
        <w:rPr>
          <w:rFonts w:ascii="Times New Roman" w:hAnsi="Times New Roman"/>
          <w:b w:val="false"/>
          <w:i w:val="false"/>
          <w:color w:val="000000"/>
          <w:sz w:val="22"/>
        </w:rPr>
        <w:t>When the annual gross exceeds $10,000, expenses shall be paid from a bingo checking account. The licensee shall prove that all expenses were incurred exclusively and directly as a result of bingo.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103.8(2)</w:t>
      </w:r>
      <w:r>
        <w:rPr>
          <w:rFonts w:ascii="Times New Roman" w:hAnsi="Times New Roman"/>
          <w:b w:val="false"/>
          <w:i w:val="false"/>
          <w:color w:val="000000"/>
          <w:sz w:val="22"/>
        </w:rPr>
        <w:t> </w:t>
      </w:r>
      <w:r>
        <w:rPr>
          <w:rFonts w:ascii="Times New Roman" w:hAnsi="Times New Roman"/>
          <w:b w:val="false"/>
          <w:i w:val="false"/>
          <w:color w:val="000000"/>
          <w:sz w:val="22"/>
        </w:rPr>
        <w:t>Expenses are not reasonable if the amount charged substantially exceeds the current rate or average retail cost of items or services purchased.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w:t>
      </w:r>
      <w:r>
        <w:rPr>
          <w:rFonts w:ascii="Times New Roman" w:hAnsi="Times New Roman"/>
          <w:b/>
          <w:i w:val="false"/>
          <w:color w:val="000000"/>
          <w:sz w:val="22"/>
        </w:rPr>
        <w:t xml:space="preserve">(99B) </w:t>
      </w:r>
      <w:r>
        <w:rPr>
          <w:rFonts w:ascii="Times New Roman" w:hAnsi="Times New Roman"/>
          <w:b/>
          <w:i w:val="false"/>
          <w:color w:val="000000"/>
          <w:sz w:val="22"/>
        </w:rPr>
        <w:t xml:space="preserve">Location. </w:t>
      </w:r>
      <w:r>
        <w:rPr>
          <w:rFonts w:ascii="Times New Roman" w:hAnsi="Times New Roman"/>
          <w:b w:val="false"/>
          <w:i w:val="false"/>
          <w:color w:val="000000"/>
          <w:sz w:val="22"/>
        </w:rPr>
        <w:t>Bingo occasions may be conducted on premises either owned or leased by the qualified organization.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buildings in which bingo occasions are conducted must meet state or local standards for occupancy and safety.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of the licensee shall be posted on the sign of each building or location where bingo occasions are held.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name which is closely associated with the licensee and which clearly identifies the lawful uses of the proceeds may also be used. Generic-type names, such as “Nelson Street Bingo” or “Uncle Bob’s Bingo,” shall not be used.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rent shall not be related to nor be a percentage of the receipts.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licensee may terminate any lease or rental agreement without paying a penalty or forfeiting money or a deposit. Damage deposit money is excepted.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lessor of the building shall not participate in conducting bingo.</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During a bingo occasion, the lessor shall not sell any beverage, food or any other merchandise in the room in which bingo is played.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Only one licensed qualified organization may conduct bingo occasions within the same structure or building. </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6976C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481—103.10</w:t>
      </w:r>
      <w:r>
        <w:rPr>
          <w:rFonts w:ascii="Times New Roman" w:hAnsi="Times New Roman"/>
          <w:b/>
          <w:i w:val="false"/>
          <w:color w:val="000000"/>
          <w:sz w:val="22"/>
        </w:rPr>
        <w:t xml:space="preserve">(10A,99B) </w:t>
      </w:r>
      <w:r>
        <w:rPr>
          <w:rFonts w:ascii="Times New Roman" w:hAnsi="Times New Roman"/>
          <w:b/>
          <w:i w:val="false"/>
          <w:color w:val="000000"/>
          <w:sz w:val="22"/>
        </w:rPr>
        <w:t xml:space="preserve">Concessions.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7/24/02</w:t>
      </w:r>
      <w:r>
        <w:rPr>
          <w:rFonts w:ascii="Times New Roman" w:hAnsi="Times New Roman"/>
          <w:b w:val="false"/>
          <w:i w:val="false"/>
          <w:color w:val="000000"/>
          <w:sz w:val="22"/>
        </w:rPr>
        <w:t>, effective 7/5/02.</w:t>
      </w:r>
    </w:p>
    <w:p>
      <w:pPr>
        <w:spacing w:before="0" w:after="0"/>
        <w:ind w:left="120"/>
        <w:jc w:val="both"/>
      </w:pPr>
      <w:r>
        <w:rPr>
          <w:rFonts w:ascii="Times New Roman" w:hAnsi="Times New Roman"/>
          <w:b/>
          <w:i w:val="false"/>
          <w:color w:val="000000"/>
          <w:sz w:val="22"/>
        </w:rPr>
        <w:t>481—103.11</w:t>
      </w:r>
      <w:r>
        <w:rPr>
          <w:rFonts w:ascii="Times New Roman" w:hAnsi="Times New Roman"/>
          <w:b/>
          <w:i w:val="false"/>
          <w:color w:val="000000"/>
          <w:sz w:val="22"/>
        </w:rPr>
        <w:t xml:space="preserve">(10A,725) </w:t>
      </w:r>
      <w:r>
        <w:rPr>
          <w:rFonts w:ascii="Times New Roman" w:hAnsi="Times New Roman"/>
          <w:b/>
          <w:i w:val="false"/>
          <w:color w:val="000000"/>
          <w:sz w:val="22"/>
        </w:rPr>
        <w:t xml:space="preserve">Advertising. </w:t>
      </w:r>
      <w:r>
        <w:rPr>
          <w:rFonts w:ascii="Times New Roman" w:hAnsi="Times New Roman"/>
          <w:b w:val="false"/>
          <w:i w:val="false"/>
          <w:color w:val="000000"/>
          <w:sz w:val="22"/>
        </w:rPr>
        <w:t>An organization may advertise bingo or any gambling activities legal under Iowa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725.12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481—103.12</w:t>
      </w:r>
      <w:r>
        <w:rPr>
          <w:rFonts w:ascii="Times New Roman" w:hAnsi="Times New Roman"/>
          <w:b/>
          <w:i w:val="false"/>
          <w:color w:val="000000"/>
          <w:sz w:val="22"/>
        </w:rPr>
        <w:t xml:space="preserve">(10A,99B) </w:t>
      </w:r>
      <w:r>
        <w:rPr>
          <w:rFonts w:ascii="Times New Roman" w:hAnsi="Times New Roman"/>
          <w:b/>
          <w:i w:val="false"/>
          <w:color w:val="000000"/>
          <w:sz w:val="22"/>
        </w:rPr>
        <w:t xml:space="preserve">Equipment. </w:t>
      </w:r>
      <w:r>
        <w:rPr>
          <w:rFonts w:ascii="Times New Roman" w:hAnsi="Times New Roman"/>
          <w:b w:val="false"/>
          <w:i w:val="false"/>
          <w:color w:val="000000"/>
          <w:sz w:val="22"/>
        </w:rPr>
        <w:t>Equipment shall be used as it is intended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103.12(1)</w:t>
      </w:r>
      <w:r>
        <w:rPr>
          <w:rFonts w:ascii="Times New Roman" w:hAnsi="Times New Roman"/>
          <w:b w:val="false"/>
          <w:i w:val="false"/>
          <w:color w:val="000000"/>
          <w:sz w:val="22"/>
        </w:rPr>
        <w:t> </w:t>
      </w:r>
      <w:r>
        <w:rPr>
          <w:rFonts w:ascii="Times New Roman" w:hAnsi="Times New Roman"/>
          <w:b w:val="false"/>
          <w:i w:val="false"/>
          <w:color w:val="000000"/>
          <w:sz w:val="22"/>
        </w:rPr>
        <w:t>A licensed organization shall conduct bingo games only with equipment it owns or borrows from another qualified organization. Use of equipment for which the licensed organization pays consideration directly or indirectly under the guise of a service charge is prohibited. No licensed organization may loan or borrow equipment, goods, or services in exchange for supplies. Equipment may not be rented or leased. This does not prohibit the purchase of equipment on contract.</w:t>
      </w:r>
    </w:p>
    <w:p>
      <w:pPr>
        <w:spacing w:before="0" w:after="0"/>
        <w:ind w:left="120"/>
        <w:jc w:val="both"/>
      </w:pPr>
      <w:r>
        <w:rPr>
          <w:rFonts w:ascii="Times New Roman" w:hAnsi="Times New Roman"/>
          <w:b w:val="false"/>
          <w:i w:val="false"/>
          <w:color w:val="000000"/>
          <w:sz w:val="22"/>
        </w:rPr>
        <w:t>No one who sells bingo equipment or supplies may participate in conducting bingo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103.12(2)</w:t>
      </w:r>
      <w:r>
        <w:rPr>
          <w:rFonts w:ascii="Times New Roman" w:hAnsi="Times New Roman"/>
          <w:b w:val="false"/>
          <w:i w:val="false"/>
          <w:color w:val="000000"/>
          <w:sz w:val="22"/>
        </w:rPr>
        <w:t> </w:t>
      </w:r>
      <w:r>
        <w:rPr>
          <w:rFonts w:ascii="Times New Roman" w:hAnsi="Times New Roman"/>
          <w:b w:val="false"/>
          <w:i w:val="false"/>
          <w:color w:val="000000"/>
          <w:sz w:val="22"/>
        </w:rPr>
        <w:t>Equipment used to conduct bingo must be maintained in good repair and sound working condition. No equipment shall be altered to create an advantage for anyone. Play shall progress so all players have an equal opportunity to win. Balls drawn must be the same size, shape, weight and balance. The container in which balls are held shall promote fair play. Balls shall tumble and circulate freely within the container during bingo games. All 75 balls must be in the container before each game begins. Verification of all 75 balls is required when requested by a participant.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481—103.13</w:t>
      </w:r>
      <w:r>
        <w:rPr>
          <w:rFonts w:ascii="Times New Roman" w:hAnsi="Times New Roman"/>
          <w:b/>
          <w:i w:val="false"/>
          <w:color w:val="000000"/>
          <w:sz w:val="22"/>
        </w:rPr>
        <w:t xml:space="preserve">(99B) </w:t>
      </w:r>
      <w:r>
        <w:rPr>
          <w:rFonts w:ascii="Times New Roman" w:hAnsi="Times New Roman"/>
          <w:b/>
          <w:i w:val="false"/>
          <w:color w:val="000000"/>
          <w:sz w:val="22"/>
        </w:rPr>
        <w:t xml:space="preserve">Records. </w:t>
      </w:r>
      <w:r>
        <w:rPr>
          <w:rFonts w:ascii="Times New Roman" w:hAnsi="Times New Roman"/>
          <w:b w:val="false"/>
          <w:i w:val="false"/>
          <w:color w:val="000000"/>
          <w:sz w:val="22"/>
        </w:rPr>
        <w:t>Each qualified organization which conducts bingo occasions shall record specific information. Records shall be current so the department may review them at any time. The following records are required for each bingo occasion: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103.13(1)</w:t>
      </w:r>
      <w:r>
        <w:rPr>
          <w:rFonts w:ascii="Times New Roman" w:hAnsi="Times New Roman"/>
          <w:b w:val="false"/>
          <w:i w:val="false"/>
          <w:color w:val="000000"/>
          <w:sz w:val="22"/>
        </w:rPr>
        <w:t> </w:t>
      </w:r>
      <w:r>
        <w:rPr>
          <w:rFonts w:ascii="Times New Roman" w:hAnsi="Times New Roman"/>
          <w:b w:val="false"/>
          <w:i w:val="false"/>
          <w:color w:val="000000"/>
          <w:sz w:val="22"/>
        </w:rPr>
        <w:t>The daily bingo summary (see Table A</w:t>
      </w:r>
      <w:r>
        <w:rPr>
          <w:rFonts w:ascii="Times New Roman" w:hAnsi="Times New Roman"/>
          <w:b w:val="false"/>
          <w:i w:val="false"/>
          <w:color w:val="000000"/>
          <w:sz w:val="10"/>
        </w:rPr>
        <w:t>1</w:t>
      </w:r>
      <w:r>
        <w:rPr>
          <w:rFonts w:ascii="Times New Roman" w:hAnsi="Times New Roman"/>
          <w:b w:val="false"/>
          <w:i w:val="false"/>
          <w:color w:val="000000"/>
          <w:sz w:val="22"/>
        </w:rPr>
        <w:t>) shall be a record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each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social security number of paid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Compensation of any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players present;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all games played including a description of each game, the cost to play each game, the number and category of bingo cards used for each game and the prize or prizes paid in each game. The summary shall also include the totals for the occasion of the gross receipts, prizes awarded and the jackpot prize amounts.</w:t>
      </w:r>
    </w:p>
    <w:p>
      <w:pPr>
        <w:spacing w:before="0" w:after="0"/>
        <w:ind w:left="120"/>
        <w:jc w:val="both"/>
      </w:pPr>
      <w:r>
        <w:rPr>
          <w:rFonts w:ascii="Times New Roman" w:hAnsi="Times New Roman"/>
          <w:b w:val="false"/>
          <w:i w:val="false"/>
          <w:color w:val="000000"/>
          <w:sz w:val="22"/>
        </w:rPr>
        <w:t>The daily bingo summary must be signed by a caller and another member of the organization.</w:t>
      </w:r>
    </w:p>
    <w:p>
      <w:pPr>
        <w:spacing w:before="0" w:after="0"/>
        <w:ind w:left="120"/>
        <w:jc w:val="both"/>
      </w:pPr>
      <w:r>
        <w:rPr>
          <w:rFonts w:ascii="Times New Roman" w:hAnsi="Times New Roman"/>
          <w:b w:val="false"/>
          <w:i w:val="false"/>
          <w:color w:val="000000"/>
          <w:sz w:val="22"/>
        </w:rPr>
        <w:t>Records shall be maintained for three years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103.13(2)</w:t>
      </w:r>
      <w:r>
        <w:rPr>
          <w:rFonts w:ascii="Times New Roman" w:hAnsi="Times New Roman"/>
          <w:b w:val="false"/>
          <w:i w:val="false"/>
          <w:color w:val="000000"/>
          <w:sz w:val="22"/>
        </w:rPr>
        <w:t> </w:t>
      </w:r>
      <w:r>
        <w:rPr>
          <w:rFonts w:ascii="Times New Roman" w:hAnsi="Times New Roman"/>
          <w:b w:val="false"/>
          <w:i w:val="false"/>
          <w:color w:val="000000"/>
          <w:sz w:val="22"/>
        </w:rPr>
        <w:t>An organization having $100,000 or more in bingo gross receipts per year must also comply with the following for each bingo occasion: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Daily Bingo Summary—CASH CONTROL (Table B</w:t>
      </w:r>
      <w:r>
        <w:rPr>
          <w:rFonts w:ascii="Times New Roman" w:hAnsi="Times New Roman"/>
          <w:b w:val="false"/>
          <w:i w:val="false"/>
          <w:color w:val="000000"/>
          <w:sz w:val="10"/>
        </w:rPr>
        <w:t>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This form must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Gross receipts, adjustments, the prize payouts and net receipts for each game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net receipts, total cash counted, the overage or shortage, and the total amount to be deposited for the occasion;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Shall be signed and dated by two members of the organization.</w:t>
      </w:r>
    </w:p>
    <w:p>
      <w:pPr>
        <w:spacing w:before="0" w:after="0"/>
        <w:ind w:left="120"/>
        <w:jc w:val="both"/>
      </w:pPr>
      <w:r>
        <w:rPr>
          <w:rFonts w:ascii="Times New Roman" w:hAnsi="Times New Roman"/>
          <w:b w:val="false"/>
          <w:i w:val="false"/>
          <w:color w:val="000000"/>
          <w:sz w:val="22"/>
        </w:rPr>
        <w:t>This form should correspond with the Daily Bingo Inventory Usage Form. See suggested form in Table B</w:t>
      </w:r>
      <w:r>
        <w:rPr>
          <w:rFonts w:ascii="Times New Roman" w:hAnsi="Times New Roman"/>
          <w:b w:val="false"/>
          <w:i w:val="false"/>
          <w:color w:val="000000"/>
          <w:sz w:val="10"/>
        </w:rPr>
        <w:t>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Daily Bingo Inventory Usage (Table C). This form must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loose sheet of bingo paper sold, the color, paper size, game(s) played, daily count start, purchases, voids, number of sheets sold, and daily count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packets are purchased preassembled, the color of the top sheet, paper size, daily count start, purchases, voids, number of packets sold, and daily count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packets are assembled by the organization, the color of the top sheet, paper size, daily count start, purchases, voids, number of packets sold, and daily count end. Also, each loose sheet of bingo paper used to assemble the packet must be accounted for by decreasing the applicable loose sheet bingo paper inventory under subparagraph </w:t>
      </w:r>
      <w:hyperlink r:id="rId15">
        <w:r>
          <w:rPr>
            <w:rStyle w:val="Hyperlink"/>
            <w:rFonts w:ascii="Times New Roman" w:hAnsi="Times New Roman"/>
            <w:b w:val="false"/>
            <w:i w:val="false"/>
            <w:color w:val="000000"/>
            <w:sz w:val="22"/>
          </w:rPr>
          <w:t>103.13(2)</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at the time of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shall be maintained for three years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103.13(3)</w:t>
      </w:r>
      <w:r>
        <w:rPr>
          <w:rFonts w:ascii="Times New Roman" w:hAnsi="Times New Roman"/>
          <w:b w:val="false"/>
          <w:i w:val="false"/>
          <w:color w:val="000000"/>
          <w:sz w:val="22"/>
        </w:rPr>
        <w:t> </w:t>
      </w:r>
      <w:r>
        <w:rPr>
          <w:rFonts w:ascii="Times New Roman" w:hAnsi="Times New Roman"/>
          <w:b w:val="false"/>
          <w:i w:val="false"/>
          <w:color w:val="000000"/>
          <w:sz w:val="22"/>
        </w:rPr>
        <w:t>Records of expenses and dedicated and distributed money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retained for all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Amount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Purpose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checks, the purpose of payment shall be recorded on the memo line of the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103.13(4)</w:t>
      </w:r>
      <w:r>
        <w:rPr>
          <w:rFonts w:ascii="Times New Roman" w:hAnsi="Times New Roman"/>
          <w:b w:val="false"/>
          <w:i w:val="false"/>
          <w:color w:val="000000"/>
          <w:sz w:val="22"/>
        </w:rPr>
        <w:t> </w:t>
      </w:r>
      <w:r>
        <w:rPr>
          <w:rFonts w:ascii="Times New Roman" w:hAnsi="Times New Roman"/>
          <w:b w:val="false"/>
          <w:i w:val="false"/>
          <w:color w:val="000000"/>
          <w:sz w:val="22"/>
        </w:rPr>
        <w:t>An employee record of people compensated for work (Table F</w:t>
      </w:r>
      <w:r>
        <w:rPr>
          <w:rFonts w:ascii="Times New Roman" w:hAnsi="Times New Roman"/>
          <w:b w:val="false"/>
          <w:i w:val="false"/>
          <w:color w:val="000000"/>
          <w:sz w:val="10"/>
        </w:rPr>
        <w:t>1</w:t>
      </w:r>
      <w:r>
        <w:rPr>
          <w:rFonts w:ascii="Times New Roman" w:hAnsi="Times New Roman"/>
          <w:b w:val="false"/>
          <w:i w:val="false"/>
          <w:color w:val="000000"/>
          <w:sz w:val="22"/>
        </w:rPr>
        <w:t>) at a bingo occasion shall be maintained which shows: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Times and number of hours worked;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Wages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Amounts withheld;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Check number.</w:t>
      </w:r>
    </w:p>
    <w:p>
      <w:pPr>
        <w:spacing w:before="0" w:after="0"/>
        <w:ind w:left="120"/>
        <w:jc w:val="both"/>
      </w:pPr>
      <w:r>
        <w:rPr>
          <w:rFonts w:ascii="Times New Roman" w:hAnsi="Times New Roman"/>
          <w:b w:val="false"/>
          <w:i w:val="false"/>
          <w:color w:val="000000"/>
          <w:sz w:val="22"/>
        </w:rPr>
        <w:t>The records must specifically identify for which bingo occasion an employee was compensated. Compensation is anything of value given to a person in exchange for services rendered in connection with a gambling occasion. Table F</w:t>
      </w:r>
      <w:r>
        <w:rPr>
          <w:rFonts w:ascii="Times New Roman" w:hAnsi="Times New Roman"/>
          <w:b w:val="false"/>
          <w:i w:val="false"/>
          <w:color w:val="000000"/>
          <w:sz w:val="10"/>
        </w:rPr>
        <w:t>1</w:t>
      </w:r>
      <w:r>
        <w:rPr>
          <w:rFonts w:ascii="Times New Roman" w:hAnsi="Times New Roman"/>
          <w:b w:val="false"/>
          <w:i w:val="false"/>
          <w:color w:val="000000"/>
          <w:sz w:val="22"/>
        </w:rPr>
        <w:t xml:space="preserve"> is an example.</w:t>
      </w:r>
    </w:p>
    <w:p>
      <w:pPr>
        <w:spacing w:before="0" w:after="0"/>
        <w:ind w:left="120"/>
        <w:jc w:val="both"/>
      </w:pPr>
      <w:r>
        <w:rPr>
          <w:rFonts w:ascii="Times New Roman" w:hAnsi="Times New Roman"/>
          <w:b w:val="false"/>
          <w:i w:val="false"/>
          <w:color w:val="000000"/>
          <w:sz w:val="22"/>
        </w:rPr>
        <w:t>Records shall be maintained for three years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103.13(5)</w:t>
      </w:r>
      <w:r>
        <w:rPr>
          <w:rFonts w:ascii="Times New Roman" w:hAnsi="Times New Roman"/>
          <w:b w:val="false"/>
          <w:i w:val="false"/>
          <w:color w:val="000000"/>
          <w:sz w:val="22"/>
        </w:rPr>
        <w:t> </w:t>
      </w:r>
      <w:r>
        <w:rPr>
          <w:rFonts w:ascii="Times New Roman" w:hAnsi="Times New Roman"/>
          <w:b w:val="false"/>
          <w:i w:val="false"/>
          <w:color w:val="000000"/>
          <w:sz w:val="22"/>
        </w:rPr>
        <w:t>An inventory list of the number of playing faces owned by the licensed organization is required.</w:t>
      </w:r>
    </w:p>
    <w:p>
      <w:pPr>
        <w:spacing w:before="0" w:after="0"/>
        <w:ind w:left="120"/>
        <w:jc w:val="both"/>
      </w:pPr>
      <w:r>
        <w:rPr>
          <w:rFonts w:ascii="Times New Roman" w:hAnsi="Times New Roman"/>
          <w:b w:val="false"/>
          <w:i w:val="false"/>
          <w:color w:val="000000"/>
          <w:sz w:val="22"/>
        </w:rPr>
        <w:t>The inventory shall be updated each month.</w:t>
      </w:r>
    </w:p>
    <w:p>
      <w:pPr>
        <w:spacing w:before="0" w:after="0"/>
        <w:ind w:left="120"/>
        <w:jc w:val="both"/>
      </w:pPr>
      <w:r>
        <w:rPr>
          <w:rFonts w:ascii="Times New Roman" w:hAnsi="Times New Roman"/>
          <w:b w:val="false"/>
          <w:i w:val="false"/>
          <w:color w:val="000000"/>
          <w:sz w:val="22"/>
        </w:rPr>
        <w:t>Records shall be maintained for three years for review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See forms at end of this chapter.</w:t>
      </w:r>
    </w:p>
    <w:p>
      <w:pPr>
        <w:spacing w:before="0" w:after="0"/>
        <w:ind w:left="120"/>
        <w:jc w:val="both"/>
      </w:pPr>
      <w:r>
        <w:rPr>
          <w:rFonts w:ascii="Times New Roman" w:hAnsi="Times New Roman"/>
          <w:b/>
          <w:i w:val="false"/>
          <w:color w:val="000000"/>
          <w:sz w:val="22"/>
        </w:rPr>
        <w:t>481—103.14</w:t>
      </w:r>
      <w:r>
        <w:rPr>
          <w:rFonts w:ascii="Times New Roman" w:hAnsi="Times New Roman"/>
          <w:b/>
          <w:i w:val="false"/>
          <w:color w:val="000000"/>
          <w:sz w:val="22"/>
        </w:rPr>
        <w:t xml:space="preserve">(99B) </w:t>
      </w:r>
      <w:r>
        <w:rPr>
          <w:rFonts w:ascii="Times New Roman" w:hAnsi="Times New Roman"/>
          <w:b/>
          <w:i w:val="false"/>
          <w:color w:val="000000"/>
          <w:sz w:val="22"/>
        </w:rPr>
        <w:t xml:space="preserve">Bingo checking account. </w:t>
      </w:r>
      <w:r>
        <w:rPr>
          <w:rFonts w:ascii="Times New Roman" w:hAnsi="Times New Roman"/>
          <w:b w:val="false"/>
          <w:i w:val="false"/>
          <w:color w:val="000000"/>
          <w:sz w:val="22"/>
        </w:rPr>
        <w:t>A qualified organization whose bingo occasions exceed $10,000 in annual gross receipts shall maintain a separate bingo checking account. The checking account shall be established within one day of attaining $10,000.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103.14(1)</w:t>
      </w:r>
      <w:r>
        <w:rPr>
          <w:rFonts w:ascii="Times New Roman" w:hAnsi="Times New Roman"/>
          <w:b w:val="false"/>
          <w:i w:val="false"/>
          <w:color w:val="000000"/>
          <w:sz w:val="22"/>
        </w:rPr>
        <w:t> </w:t>
      </w:r>
      <w:r>
        <w:rPr>
          <w:rFonts w:ascii="Times New Roman" w:hAnsi="Times New Roman"/>
          <w:b w:val="false"/>
          <w:i w:val="false"/>
          <w:color w:val="000000"/>
          <w:sz w:val="22"/>
        </w:rPr>
        <w:t>Bingo receipts, less the amount awarded as cash prizes, shall be deposited in the bingo checking account on the same or the next business day after the occasion. Other funds shall not be deposited in the bingo account. Interest earned on deposits in a bingo checking or savings account shall be treated the same as proceeds of bingo occasions.</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Limited funds of the organization may be deposited to pay initial or unexpected emergency expenses. The amount of nonbingo funds deposited in the bingo account shall not exceed $7,500. Records shall be kept which identify this money.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shall be paid from the bingo account in accordance with the requirements of Iowa Code section </w:t>
      </w:r>
      <w:hyperlink r:id="rId16">
        <w:r>
          <w:rPr>
            <w:rStyle w:val="Hyperlink"/>
            <w:rFonts w:ascii="Times New Roman" w:hAnsi="Times New Roman"/>
            <w:b w:val="false"/>
            <w:i w:val="false"/>
            <w:color w:val="000000"/>
            <w:sz w:val="22"/>
          </w:rPr>
          <w:t>99B.21</w:t>
        </w:r>
      </w:hyperlink>
      <w:r>
        <w:rPr>
          <w:rFonts w:ascii="Times New Roman" w:hAnsi="Times New Roman"/>
          <w:b w:val="false"/>
          <w:i w:val="false"/>
          <w:color w:val="000000"/>
          <w:sz w:val="22"/>
        </w:rPr>
        <w:t>. Wages shall not be paid by cash.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bingo account shall be used for both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qualified organization satisfies the dedication requirement by donating funds to another organization over which the licensed organization has no control;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qualified organization licensee is satisfying the dedication requirement by spending funds to further the charitable, educational, religious, public, patriotic or civic purposes of its own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103.14(4)</w:t>
      </w:r>
      <w:r>
        <w:rPr>
          <w:rFonts w:ascii="Times New Roman" w:hAnsi="Times New Roman"/>
          <w:b w:val="false"/>
          <w:i w:val="false"/>
          <w:color w:val="000000"/>
          <w:sz w:val="22"/>
        </w:rPr>
        <w:t> </w:t>
      </w:r>
      <w:r>
        <w:rPr>
          <w:rFonts w:ascii="Times New Roman" w:hAnsi="Times New Roman"/>
          <w:b w:val="false"/>
          <w:i w:val="false"/>
          <w:color w:val="000000"/>
          <w:sz w:val="22"/>
        </w:rPr>
        <w:t>A qualified organization licensee shall not transfer funds from the bingo checking account to any other checking account of the organization.</w:t>
      </w:r>
    </w:p>
    <w:p>
      <w:pPr>
        <w:spacing w:before="0" w:after="0"/>
        <w:ind w:left="120"/>
        <w:jc w:val="both"/>
      </w:pPr>
      <w:r>
        <w:rPr>
          <w:rFonts w:ascii="Times New Roman" w:hAnsi="Times New Roman"/>
          <w:b w:val="false"/>
          <w:i w:val="false"/>
          <w:color w:val="000000"/>
          <w:sz w:val="22"/>
        </w:rPr>
        <w:t>A flowchart for a bingo checking account is shown on Table H</w:t>
      </w:r>
      <w:r>
        <w:rPr>
          <w:rFonts w:ascii="Times New Roman" w:hAnsi="Times New Roman"/>
          <w:b w:val="false"/>
          <w:i w:val="false"/>
          <w:color w:val="000000"/>
          <w:sz w:val="10"/>
        </w:rPr>
        <w:t>1</w:t>
      </w:r>
      <w:r>
        <w:rPr>
          <w:rFonts w:ascii="Times New Roman" w:hAnsi="Times New Roman"/>
          <w:b w:val="false"/>
          <w:i w:val="false"/>
          <w:color w:val="000000"/>
          <w:sz w:val="22"/>
        </w:rPr>
        <w:t>.</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See forms at end of this chapter.</w:t>
      </w:r>
    </w:p>
    <w:p>
      <w:pPr>
        <w:spacing w:before="0" w:after="0"/>
        <w:ind w:left="120"/>
        <w:jc w:val="both"/>
      </w:pPr>
      <w:r>
        <w:rPr>
          <w:rFonts w:ascii="Times New Roman" w:hAnsi="Times New Roman"/>
          <w:b/>
          <w:i w:val="false"/>
          <w:color w:val="000000"/>
          <w:sz w:val="22"/>
        </w:rPr>
        <w:t>481—103.15</w:t>
      </w:r>
      <w:r>
        <w:rPr>
          <w:rFonts w:ascii="Times New Roman" w:hAnsi="Times New Roman"/>
          <w:b/>
          <w:i w:val="false"/>
          <w:color w:val="000000"/>
          <w:sz w:val="22"/>
        </w:rPr>
        <w:t xml:space="preserve">(10A,99B) </w:t>
      </w:r>
      <w:r>
        <w:rPr>
          <w:rFonts w:ascii="Times New Roman" w:hAnsi="Times New Roman"/>
          <w:b/>
          <w:i w:val="false"/>
          <w:color w:val="000000"/>
          <w:sz w:val="22"/>
        </w:rPr>
        <w:t xml:space="preserve">Bingo savings account and bingo change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103.15(1)</w:t>
      </w:r>
      <w:r>
        <w:rPr>
          <w:rFonts w:ascii="Times New Roman" w:hAnsi="Times New Roman"/>
          <w:b w:val="false"/>
          <w:i w:val="false"/>
          <w:color w:val="000000"/>
          <w:sz w:val="22"/>
        </w:rPr>
        <w:t> </w:t>
      </w:r>
      <w:r>
        <w:rPr>
          <w:rFonts w:ascii="Times New Roman" w:hAnsi="Times New Roman"/>
          <w:b w:val="false"/>
          <w:i/>
          <w:color w:val="000000"/>
          <w:sz w:val="22"/>
        </w:rPr>
        <w:t xml:space="preserve">Bingo savings account. </w:t>
      </w:r>
      <w:r>
        <w:rPr>
          <w:rFonts w:ascii="Times New Roman" w:hAnsi="Times New Roman"/>
          <w:b w:val="false"/>
          <w:i w:val="false"/>
          <w:color w:val="000000"/>
          <w:sz w:val="22"/>
        </w:rPr>
        <w:t>When an organization places bingo receipts in any savings account, bingo funds shall be separate and recognizable from all other funds of the same organization. All funds in a bingo savings account shall be transferred into that account from a bingo checking account. Funds shall be transferred back to the bingo checking account before they are spent.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103.15(2)</w:t>
      </w:r>
      <w:r>
        <w:rPr>
          <w:rFonts w:ascii="Times New Roman" w:hAnsi="Times New Roman"/>
          <w:b w:val="false"/>
          <w:i w:val="false"/>
          <w:color w:val="000000"/>
          <w:sz w:val="22"/>
        </w:rPr>
        <w:t> </w:t>
      </w:r>
      <w:r>
        <w:rPr>
          <w:rFonts w:ascii="Times New Roman" w:hAnsi="Times New Roman"/>
          <w:b w:val="false"/>
          <w:i/>
          <w:color w:val="000000"/>
          <w:sz w:val="22"/>
        </w:rPr>
        <w:t xml:space="preserve">Bingo change fund. </w:t>
      </w:r>
      <w:r>
        <w:rPr>
          <w:rFonts w:ascii="Times New Roman" w:hAnsi="Times New Roman"/>
          <w:b w:val="false"/>
          <w:i w:val="false"/>
          <w:color w:val="000000"/>
          <w:sz w:val="22"/>
        </w:rPr>
        <w:t xml:space="preserve">Moneys used as a change fund, if necessary, should be provided by the organization for each bingo occasion. The change fund can increase or decrease as appropriate for the anticipated participation in the bingo occasion. The balance of the change fund at the end of the fiscal year must be dedicated by July 30 and reported as required by rule </w:t>
      </w:r>
      <w:hyperlink r:id="rId17">
        <w:r>
          <w:rPr>
            <w:rStyle w:val="Hyperlink"/>
            <w:rFonts w:ascii="Times New Roman" w:hAnsi="Times New Roman"/>
            <w:b w:val="false"/>
            <w:i w:val="false"/>
            <w:color w:val="000000"/>
            <w:sz w:val="22"/>
          </w:rPr>
          <w:t>481—103.16</w:t>
        </w:r>
      </w:hyperlink>
      <w:r>
        <w:rPr>
          <w:rFonts w:ascii="Times New Roman" w:hAnsi="Times New Roman"/>
          <w:b w:val="false"/>
          <w:i w:val="false"/>
          <w:color w:val="000000"/>
          <w:sz w:val="22"/>
        </w:rPr>
        <w:t>(10A,99B). The fiscal year begins July 1 and ends June 30 of the following year. The change fund should be maintained in a secure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481—103.16</w:t>
      </w:r>
      <w:r>
        <w:rPr>
          <w:rFonts w:ascii="Times New Roman" w:hAnsi="Times New Roman"/>
          <w:b/>
          <w:i w:val="false"/>
          <w:color w:val="000000"/>
          <w:sz w:val="22"/>
        </w:rPr>
        <w:t xml:space="preserve">(99B) </w:t>
      </w:r>
      <w:r>
        <w:rPr>
          <w:rFonts w:ascii="Times New Roman" w:hAnsi="Times New Roman"/>
          <w:b/>
          <w:i w:val="false"/>
          <w:color w:val="000000"/>
          <w:sz w:val="22"/>
        </w:rPr>
        <w:t xml:space="preserve">Annual gambling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103.16(1)</w:t>
      </w:r>
      <w:r>
        <w:rPr>
          <w:rFonts w:ascii="Times New Roman" w:hAnsi="Times New Roman"/>
          <w:b w:val="false"/>
          <w:i w:val="false"/>
          <w:color w:val="000000"/>
          <w:sz w:val="22"/>
        </w:rPr>
        <w:t> </w:t>
      </w:r>
      <w:r>
        <w:rPr>
          <w:rFonts w:ascii="Times New Roman" w:hAnsi="Times New Roman"/>
          <w:b w:val="false"/>
          <w:i w:val="false"/>
          <w:color w:val="000000"/>
          <w:sz w:val="22"/>
        </w:rPr>
        <w:t>Each organization which conducts bingo shall submit a report to the department by January 31 of each year for the prior calendar year period of January 1 through December 31. When the due date is on Saturday, Sunday, or a legal holiday, the report is due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103.16(2)</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gambling reports may be completed online by visiting </w:t>
      </w:r>
      <w:hyperlink r:id="rId18">
        <w:r>
          <w:rPr>
            <w:rStyle w:val="Hyperlink"/>
            <w:rFonts w:ascii="Times New Roman" w:hAnsi="Times New Roman"/>
            <w:b w:val="false"/>
            <w:i w:val="false"/>
            <w:color w:val="000000"/>
            <w:sz w:val="22"/>
            <w:u w:val="single"/>
          </w:rPr>
          <w:t>dia.iowa.gov</w:t>
        </w:r>
      </w:hyperlink>
      <w:r>
        <w:rPr>
          <w:rFonts w:ascii="Times New Roman" w:hAnsi="Times New Roman"/>
          <w:b w:val="false"/>
          <w:i w:val="false"/>
          <w:color w:val="000000"/>
          <w:sz w:val="22"/>
        </w:rPr>
        <w:t xml:space="preserve"> and clicking the link for “Social and Charitable Gambling.” A paper version of the annual gambling report may be obtained from the Social and Charitable Gambling Unit, Iowa Department of Inspections and Appeals, Lucas State Office Building, Des Moines, Iowa 50319-0083; or by telephone (515)281-6848.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qualified organization to submit records of specific occasions with the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103.16(4)</w:t>
      </w:r>
      <w:r>
        <w:rPr>
          <w:rFonts w:ascii="Times New Roman" w:hAnsi="Times New Roman"/>
          <w:b w:val="false"/>
          <w:i w:val="false"/>
          <w:color w:val="000000"/>
          <w:sz w:val="22"/>
        </w:rPr>
        <w:t> </w:t>
      </w:r>
      <w:r>
        <w:rPr>
          <w:rFonts w:ascii="Times New Roman" w:hAnsi="Times New Roman"/>
          <w:b w:val="false"/>
          <w:i w:val="false"/>
          <w:color w:val="000000"/>
          <w:sz w:val="22"/>
        </w:rPr>
        <w:t>All transactions of any school group or parent support group using a schoolwide license shall be on the annual report.</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481—103.17</w:t>
      </w:r>
      <w:r>
        <w:rPr>
          <w:rFonts w:ascii="Times New Roman" w:hAnsi="Times New Roman"/>
          <w:b/>
          <w:i w:val="false"/>
          <w:color w:val="000000"/>
          <w:sz w:val="22"/>
        </w:rPr>
        <w:t xml:space="preserve">(10A,99B) </w:t>
      </w:r>
      <w:r>
        <w:rPr>
          <w:rFonts w:ascii="Times New Roman" w:hAnsi="Times New Roman"/>
          <w:b/>
          <w:i w:val="false"/>
          <w:color w:val="000000"/>
          <w:sz w:val="22"/>
        </w:rPr>
        <w:t xml:space="preserve">Inspections and audits. </w:t>
      </w:r>
      <w:r>
        <w:rPr>
          <w:rFonts w:ascii="Times New Roman" w:hAnsi="Times New Roman"/>
          <w:b w:val="false"/>
          <w:i w:val="false"/>
          <w:color w:val="000000"/>
          <w:sz w:val="22"/>
        </w:rPr>
        <w:t>Licensed organizations may be inspected or audited by a representative of the department at any reasonable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481—103.18</w:t>
      </w:r>
      <w:r>
        <w:rPr>
          <w:rFonts w:ascii="Times New Roman" w:hAnsi="Times New Roman"/>
          <w:b/>
          <w:i w:val="false"/>
          <w:color w:val="000000"/>
          <w:sz w:val="22"/>
        </w:rPr>
        <w:t xml:space="preserve">(99B) </w:t>
      </w:r>
      <w:r>
        <w:rPr>
          <w:rFonts w:ascii="Times New Roman" w:hAnsi="Times New Roman"/>
          <w:b/>
          <w:i w:val="false"/>
          <w:color w:val="000000"/>
          <w:sz w:val="22"/>
        </w:rPr>
        <w:t xml:space="preserve">Electronic bingo.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103.18(1)</w:t>
      </w:r>
      <w:r>
        <w:rPr>
          <w:rFonts w:ascii="Times New Roman" w:hAnsi="Times New Roman"/>
          <w:b w:val="false"/>
          <w:i w:val="false"/>
          <w:color w:val="000000"/>
          <w:sz w:val="22"/>
        </w:rPr>
        <w:t> </w:t>
      </w:r>
      <w:r>
        <w:rPr>
          <w:rFonts w:ascii="Times New Roman" w:hAnsi="Times New Roman"/>
          <w:b w:val="false"/>
          <w:i w:val="false"/>
          <w:color w:val="000000"/>
          <w:sz w:val="22"/>
        </w:rPr>
        <w:t>A qualified organization may lease electronic bingo equipment from a manufacturer or distributor licensed by the department. For purposes of this rule, “electronic bingo equipment” means an electronic device that assists an individual with a disability in the use of a bingo card during a bingo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103.18(2)</w:t>
      </w:r>
      <w:r>
        <w:rPr>
          <w:rFonts w:ascii="Times New Roman" w:hAnsi="Times New Roman"/>
          <w:b w:val="false"/>
          <w:i w:val="false"/>
          <w:color w:val="000000"/>
          <w:sz w:val="22"/>
        </w:rPr>
        <w:t> </w:t>
      </w:r>
      <w:r>
        <w:rPr>
          <w:rFonts w:ascii="Times New Roman" w:hAnsi="Times New Roman"/>
          <w:b w:val="false"/>
          <w:i w:val="false"/>
          <w:color w:val="000000"/>
          <w:sz w:val="22"/>
        </w:rPr>
        <w:t>Electronic bingo equipment shall be used only by disabled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“disability” means, with respect to an individual, a physical or mental impairment that substantially limits one or more of the major life activities of the individual, a record of physical or mental impairment that substantially limits one or more of the major life activities of the individual, or being regarded as an individual with a physical or mental impairment that substantially limits one or more of the major life activities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“Disability” does not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Homosexuality or bisexuality.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Transvestitism, transsexualism, pedophilia, exhibitionism, voyeurism, gender identity disorders not resulting from physical impairments, or other sexual behavior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Compulsive gambling, kleptomania, or pyromania.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Psychoactive substance abuse disorders resulting from current illegal use of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103.18(3)</w:t>
      </w:r>
      <w:r>
        <w:rPr>
          <w:rFonts w:ascii="Times New Roman" w:hAnsi="Times New Roman"/>
          <w:b w:val="false"/>
          <w:i w:val="false"/>
          <w:color w:val="000000"/>
          <w:sz w:val="22"/>
        </w:rPr>
        <w:t> </w:t>
      </w:r>
      <w:r>
        <w:rPr>
          <w:rFonts w:ascii="Times New Roman" w:hAnsi="Times New Roman"/>
          <w:b w:val="false"/>
          <w:i w:val="false"/>
          <w:color w:val="000000"/>
          <w:sz w:val="22"/>
        </w:rPr>
        <w:t>Electronic bingo devices shall be used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player may input into the device each number called or the device may automatically daub each number as the number is called.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player must notify the game operator or caller of the winning pattern of bingo by means other than use of the electronic bingo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player is limited to playing a maximum of 54 card faces per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 per bingo game must be the same as it would be if the individual were to purchase the same amount of paper or hard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Players of electronic bingo shall not be required to play more cards than they would be required to play if using paper or hard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electronic bingo device shall produce a player receipt with the organization name, date, time, location, sequential transaction or receipt number, number of electronic bingo cards loaded, cost of electronic bingo cards loaded, and the date and time of the transaction. Images of cards or faces stored in an electronic bingo device must be exact duplicates of the printed faces if the faces are printed.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examine and inspect any electronic bingo device and related system. Such examination and inspection shall include immediate access to the electronic bingo device and unlimited inspection of all parts and associated systems and may involve the removal of equipment from the game premises for further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electronic bingo devices must be loaded and enabled for play on the premises where the game will be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electronic bingo devices shall be rented or otherwise provided to a player only by a qualified organization, and no part of the proceeds of the rental of such devices shall be paid to a landlord or a landlord’s employee or agent or member of the landlord’s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a player’s call of a bingo is disputed by another player, or if a department representative makes a request, one or more cards stored on an electronic bingo device shall be printed by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Players may exchange a defective electronic bingo device for another electronic bingo device provided a disinterested player verifies that the device is not functioning.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99B.21(3)</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481—103.19</w:t>
      </w:r>
      <w:r>
        <w:rPr>
          <w:rFonts w:ascii="Times New Roman" w:hAnsi="Times New Roman"/>
          <w:b/>
          <w:i w:val="false"/>
          <w:color w:val="000000"/>
          <w:sz w:val="22"/>
        </w:rPr>
        <w:t xml:space="preserve">(99B) </w:t>
      </w:r>
      <w:r>
        <w:rPr>
          <w:rFonts w:ascii="Times New Roman" w:hAnsi="Times New Roman"/>
          <w:b/>
          <w:i w:val="false"/>
          <w:color w:val="000000"/>
          <w:sz w:val="22"/>
        </w:rPr>
        <w:t xml:space="preserve">Bingo at a fair or community festival. </w:t>
      </w:r>
      <w:r>
        <w:rPr>
          <w:rFonts w:ascii="Times New Roman" w:hAnsi="Times New Roman"/>
          <w:b w:val="false"/>
          <w:i w:val="false"/>
          <w:color w:val="000000"/>
          <w:sz w:val="22"/>
        </w:rPr>
        <w:t xml:space="preserve">Bingo may lawfully be conducted at a fair or a community festival if the requirements of Iowa Code section </w:t>
      </w:r>
      <w:hyperlink r:id="rId20">
        <w:r>
          <w:rPr>
            <w:rStyle w:val="Hyperlink"/>
            <w:rFonts w:ascii="Times New Roman" w:hAnsi="Times New Roman"/>
            <w:b w:val="false"/>
            <w:i w:val="false"/>
            <w:color w:val="000000"/>
            <w:sz w:val="22"/>
          </w:rPr>
          <w:t>99B.22</w:t>
        </w:r>
      </w:hyperlink>
      <w:r>
        <w:rPr>
          <w:rFonts w:ascii="Times New Roman" w:hAnsi="Times New Roman"/>
          <w:b w:val="false"/>
          <w:i w:val="false"/>
          <w:color w:val="000000"/>
          <w:sz w:val="22"/>
        </w:rPr>
        <w:t xml:space="preserve"> are met. A qualified organization that has received permission from the sponsor of the fair or community festival to conduct bingo shall be licensed under Iowa Code section </w:t>
      </w:r>
      <w:hyperlink r:id="rId21">
        <w:r>
          <w:rPr>
            <w:rStyle w:val="Hyperlink"/>
            <w:rFonts w:ascii="Times New Roman" w:hAnsi="Times New Roman"/>
            <w:b w:val="false"/>
            <w:i w:val="false"/>
            <w:color w:val="000000"/>
            <w:sz w:val="22"/>
          </w:rPr>
          <w:t>99B.12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4014C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2">
        <w:r>
          <w:rPr>
            <w:rStyle w:val="Hyperlink"/>
            <w:rFonts w:ascii="Times New Roman" w:hAnsi="Times New Roman"/>
            <w:b w:val="false"/>
            <w:i w:val="false"/>
            <w:color w:val="000000"/>
            <w:sz w:val="22"/>
          </w:rPr>
          <w:t>99B.1 to 99B.7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99B.11 to 99B.16</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99B.21 to 99B.23</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99B.32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12/12/76, Notice 10/6/76—published 12/29/76, effective 2/2/77]</w:t>
      </w:r>
    </w:p>
    <w:p>
      <w:pPr>
        <w:spacing w:before="0" w:after="0"/>
        <w:ind w:left="120"/>
        <w:jc w:val="center"/>
      </w:pP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21"/>
        </w:rPr>
        <w:t>[Filed 11/21/80, Notice 10/15/80—published 12/10/80, effective 1/14/81]</w:t>
      </w:r>
    </w:p>
    <w:p>
      <w:pPr>
        <w:spacing w:before="0" w:after="0"/>
        <w:ind w:left="120"/>
        <w:jc w:val="center"/>
      </w:pPr>
      <w:r>
        <w:rPr>
          <w:rFonts w:ascii="Times New Roman" w:hAnsi="Times New Roman"/>
          <w:b w:val="false"/>
          <w:i w:val="false"/>
          <w:color w:val="000000"/>
          <w:sz w:val="21"/>
        </w:rPr>
        <w:t>[Filed 3/13/81, Notice 2/4/81—published 4/1/81, effective 5/6/81]</w:t>
      </w:r>
    </w:p>
    <w:p>
      <w:pPr>
        <w:spacing w:before="0" w:after="0"/>
        <w:ind w:left="120"/>
        <w:jc w:val="center"/>
      </w:pPr>
      <w:r>
        <w:rPr>
          <w:rFonts w:ascii="Times New Roman" w:hAnsi="Times New Roman"/>
          <w:b w:val="false"/>
          <w:i w:val="false"/>
          <w:color w:val="000000"/>
          <w:sz w:val="21"/>
        </w:rPr>
        <w:t>[Filed 8/28/81, Notice 7/22/81—published 9/16/81, effective 10/21/81]</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emergency 6/29/84—published 7/18/84, effective 7/1/84]</w:t>
      </w:r>
    </w:p>
    <w:p>
      <w:pPr>
        <w:spacing w:before="0" w:after="0"/>
        <w:ind w:left="120"/>
        <w:jc w:val="center"/>
      </w:pPr>
      <w:r>
        <w:rPr>
          <w:rFonts w:ascii="Times New Roman" w:hAnsi="Times New Roman"/>
          <w:b w:val="false"/>
          <w:i w:val="false"/>
          <w:color w:val="000000"/>
          <w:sz w:val="21"/>
        </w:rPr>
        <w:t>[Filed 8/24/84, Notice 7/18/84—published 9/12/84, effective 10/17/84]</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9/20/85, Notice 7/17/85—published 10/9/85, effective 11/13/85]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4/24/87, Notice 3/11/87—published 5/20/87, effective 6/24/87]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emergency 5/26/89—published 6/14/89, effective 7/1/89]</w:t>
      </w:r>
    </w:p>
    <w:p>
      <w:pPr>
        <w:spacing w:before="0" w:after="0"/>
        <w:ind w:left="120"/>
        <w:jc w:val="center"/>
      </w:pPr>
      <w:r>
        <w:rPr>
          <w:rFonts w:ascii="Times New Roman" w:hAnsi="Times New Roman"/>
          <w:b w:val="false"/>
          <w:i w:val="false"/>
          <w:color w:val="000000"/>
          <w:sz w:val="21"/>
        </w:rPr>
        <w:t>[Filed 8/15/90, Notice 4/18/90—published 9/5/90, effective 10/10/90]</w:t>
      </w:r>
    </w:p>
    <w:p>
      <w:pPr>
        <w:spacing w:before="0" w:after="0"/>
        <w:ind w:left="120"/>
        <w:jc w:val="center"/>
      </w:pPr>
      <w:r>
        <w:rPr>
          <w:rFonts w:ascii="Times New Roman" w:hAnsi="Times New Roman"/>
          <w:b w:val="false"/>
          <w:i w:val="false"/>
          <w:color w:val="000000"/>
          <w:sz w:val="21"/>
        </w:rPr>
        <w:t>[Filed 4/12/91, Notice 2/6/91—published 5/1/91, effective 6/5/91]</w:t>
      </w:r>
    </w:p>
    <w:p>
      <w:pPr>
        <w:spacing w:before="0" w:after="0"/>
        <w:ind w:left="120"/>
        <w:jc w:val="center"/>
      </w:pPr>
      <w:r>
        <w:rPr>
          <w:rFonts w:ascii="Times New Roman" w:hAnsi="Times New Roman"/>
          <w:b w:val="false"/>
          <w:i w:val="false"/>
          <w:color w:val="000000"/>
          <w:sz w:val="21"/>
        </w:rPr>
        <w:t>[Filed 4/25/91, Notice 3/20/91—published 5/15/91, effective 6/19/91]</w:t>
      </w:r>
    </w:p>
    <w:p>
      <w:pPr>
        <w:spacing w:before="0" w:after="0"/>
        <w:ind w:left="120"/>
        <w:jc w:val="center"/>
      </w:pPr>
      <w:r>
        <w:rPr>
          <w:rFonts w:ascii="Times New Roman" w:hAnsi="Times New Roman"/>
          <w:b w:val="false"/>
          <w:i w:val="false"/>
          <w:color w:val="000000"/>
          <w:sz w:val="21"/>
        </w:rPr>
        <w:t>[Filed emergency 7/5/02—published 7/24/02, effective 7/5/02]</w:t>
      </w:r>
    </w:p>
    <w:p>
      <w:pPr>
        <w:spacing w:before="0" w:after="0"/>
        <w:ind w:left="120"/>
        <w:jc w:val="center"/>
      </w:pPr>
      <w:r>
        <w:rPr>
          <w:rFonts w:ascii="Times New Roman" w:hAnsi="Times New Roman"/>
          <w:b w:val="false"/>
          <w:i w:val="false"/>
          <w:color w:val="000000"/>
          <w:sz w:val="21"/>
        </w:rPr>
        <w:t>[Filed 8/30/02, Notice 7/24/02—published 9/18/02, effective 10/23/02]</w:t>
      </w:r>
    </w:p>
    <w:p>
      <w:pPr>
        <w:spacing w:before="0" w:after="0"/>
        <w:ind w:left="120"/>
        <w:jc w:val="center"/>
      </w:pPr>
      <w:r>
        <w:rPr>
          <w:rFonts w:ascii="Times New Roman" w:hAnsi="Times New Roman"/>
          <w:b w:val="false"/>
          <w:i w:val="false"/>
          <w:color w:val="000000"/>
          <w:sz w:val="21"/>
        </w:rPr>
        <w:t>[Filed 11/19/03, Notice 10/15/03—published 12/10/03, effective 1/14/04]</w:t>
      </w:r>
    </w:p>
    <w:p>
      <w:pPr>
        <w:spacing w:before="0" w:after="0"/>
        <w:ind w:left="120"/>
        <w:jc w:val="center"/>
      </w:pPr>
      <w:r>
        <w:rPr>
          <w:rFonts w:ascii="Times New Roman" w:hAnsi="Times New Roman"/>
          <w:b w:val="false"/>
          <w:i w:val="false"/>
          <w:color w:val="000000"/>
          <w:sz w:val="21"/>
        </w:rPr>
        <w:t>[Filed 9/9/04, Notice 8/4/04—published 9/29/04, effective 11/3/04]</w:t>
      </w:r>
      <w:r>
        <w:rPr>
          <w:rFonts w:ascii="Times New Roman" w:hAnsi="Times New Roman"/>
          <w:b w:val="false"/>
          <w:i w:val="false"/>
          <w:color w:val="000000"/>
          <w:sz w:val="16"/>
        </w:rPr>
        <w:t xml:space="preserve">NOTE: </w:t>
      </w:r>
      <w:r>
        <w:rPr>
          <w:rFonts w:ascii="Times New Roman" w:hAnsi="Times New Roman"/>
          <w:b w:val="false"/>
          <w:i w:val="false"/>
          <w:color w:val="000000"/>
          <w:sz w:val="16"/>
        </w:rPr>
        <w:t>See forms on following pages.</w:t>
      </w:r>
    </w:p>
    <w:p>
      <w:pPr>
        <w:spacing w:before="0" w:after="0"/>
        <w:ind w:left="120"/>
        <w:jc w:val="center"/>
      </w:pPr>
      <w:r>
        <w:rPr>
          <w:rFonts w:ascii="Times New Roman" w:hAnsi="Times New Roman"/>
          <w:b w:val="false"/>
          <w:i w:val="false"/>
          <w:color w:val="000000"/>
          <w:sz w:val="21"/>
        </w:rPr>
        <w:t>[Filed ARC 1929C</w:t>
      </w:r>
      <w:r>
        <w:rPr>
          <w:rFonts w:ascii="Times New Roman" w:hAnsi="Times New Roman"/>
          <w:b w:val="false"/>
          <w:i w:val="false"/>
          <w:color w:val="000000"/>
          <w:sz w:val="21"/>
        </w:rPr>
        <w:t xml:space="preserve"> (Notice ARC 1858C,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4014C</w:t>
      </w:r>
      <w:r>
        <w:rPr>
          <w:rFonts w:ascii="Times New Roman" w:hAnsi="Times New Roman"/>
          <w:b w:val="false"/>
          <w:i w:val="false"/>
          <w:color w:val="000000"/>
          <w:sz w:val="21"/>
        </w:rPr>
        <w:t xml:space="preserve"> (Notice ARC 3920C, IAB 8/1/18)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6976C</w:t>
      </w:r>
      <w:r>
        <w:rPr>
          <w:rFonts w:ascii="Times New Roman" w:hAnsi="Times New Roman"/>
          <w:b w:val="false"/>
          <w:i w:val="false"/>
          <w:color w:val="000000"/>
          <w:sz w:val="21"/>
        </w:rPr>
        <w:t xml:space="preserve"> (Notice ARC 6879C, IAB 2/8/23)</w:t>
      </w:r>
      <w:r>
        <w:rPr>
          <w:rFonts w:ascii="Times New Roman" w:hAnsi="Times New Roman"/>
          <w:b w:val="false"/>
          <w:i w:val="false"/>
          <w:color w:val="000000"/>
          <w:sz w:val="21"/>
        </w:rPr>
        <w:t>, IAB 4/5/23, effective 5/10/23]</w:t>
      </w:r>
    </w:p>
    <w:p>
      <w:pPr>
        <w:pageBreakBefore/>
        <w:spacing w:before="0" w:after="0"/>
        <w:ind w:left="120"/>
        <w:jc w:val="left"/>
      </w:pPr>
    </w:p>
    <w:tbl>
      <w:tblPr>
        <w:tblW w:w="5000" w:type="pct"/>
        <w:tblCellSpacing w:w="0" w:type="auto"/>
        <w:tblBorders>
          <w:top w:val="none"/>
          <w:left w:val="none"/>
          <w:bottom w:val="none"/>
          <w:right w:val="none"/>
          <w:insideH w:val="none"/>
          <w:insideV w:val="none"/>
        </w:tblBorders>
      </w:tblPr>
      <w:tblGrid>
        <w:gridCol w:w="2266"/>
        <w:gridCol w:w="6667"/>
      </w:tblGrid>
      <w:tr>
        <w:trPr>
          <w:trHeight w:val="240"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IOWA DEPARTMENT OF INSPECTIONS AND APPEALS</w:t>
            </w:r>
          </w:p>
        </w:tc>
      </w:tr>
      <w:tr>
        <w:trPr>
          <w:trHeight w:val="240"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DATE: </w:t>
            </w:r>
          </w:p>
        </w:tc>
        <w:tc>
          <w:tcPr>
            <w:tcW w:w="66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TABLE A</w:t>
            </w:r>
          </w:p>
        </w:tc>
      </w:tr>
      <w:tr>
        <w:trPr>
          <w:trHeight w:val="240"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DAILY BINGO SUMMARY</w:t>
            </w:r>
          </w:p>
        </w:tc>
      </w:tr>
      <w:tr>
        <w:trPr>
          <w:trHeight w:val="240"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Daily Cash Control Form users enter total only</w:t>
            </w:r>
          </w:p>
        </w:tc>
      </w:tr>
    </w:tbl>
    <w:tbl>
      <w:tblPr>
        <w:tblW w:w="5000" w:type="pct"/>
        <w:tblCellSpacing w:w="0" w:type="auto"/>
        <w:tblInd w:w="101" w:type="dxa"/>
        <w:tblBorders>
          <w:top w:val="none"/>
          <w:left w:val="none"/>
          <w:bottom w:val="single" w:color="000000" w:sz="8"/>
          <w:right w:val="none"/>
          <w:insideH w:val="none"/>
          <w:insideV w:val="none"/>
        </w:tblBorders>
      </w:tblPr>
      <w:tblGrid>
        <w:gridCol w:w="2024"/>
        <w:gridCol w:w="299"/>
        <w:gridCol w:w="587"/>
        <w:gridCol w:w="587"/>
        <w:gridCol w:w="587"/>
        <w:gridCol w:w="1355"/>
        <w:gridCol w:w="779"/>
        <w:gridCol w:w="1930"/>
        <w:gridCol w:w="491"/>
        <w:gridCol w:w="587"/>
        <w:gridCol w:w="491"/>
        <w:gridCol w:w="683"/>
        <w:gridCol w:w="587"/>
      </w:tblGrid>
      <w:tr>
        <w:trPr>
          <w:trHeight w:val="165" w:hRule="atLeast"/>
        </w:trPr>
        <w:tc>
          <w:tcPr>
            <w:tcW w:w="0" w:type="auto"/>
            <w:gridSpan w:val="6"/>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2"/>
              </w:rPr>
              <w:t>TODAYS BINGO RECEIPTS</w:t>
            </w:r>
          </w:p>
        </w:tc>
        <w:tc>
          <w:tcPr>
            <w:tcW w:w="0" w:type="auto"/>
            <w:gridSpan w:val="7"/>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2"/>
              </w:rPr>
              <w:t>TODAYS BINGO CASH PRIZES</w:t>
            </w:r>
          </w:p>
        </w:tc>
      </w:tr>
      <w:tr>
        <w:trPr>
          <w:trHeight w:val="18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Game or Packet</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 Sold</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Cost/Unit</w:t>
            </w:r>
          </w:p>
        </w:tc>
        <w:tc>
          <w:tcPr>
            <w:tcW w:w="13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Receipts</w:t>
            </w:r>
          </w:p>
        </w:tc>
        <w:tc>
          <w:tcPr>
            <w:tcW w:w="77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Game</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Game pattern</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Prize/prizes Paid</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Adjustments (+ or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xml:space="preserve"> Total Cash Prizes Paid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Gross Receipts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State Sales Tax</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Local Option Tax (if applicable)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xml:space="preserve"> TOTAL IN ATTENDANCE: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Total Gross Receipts (after tax)</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Jackpot Game Played -</w:t>
            </w:r>
          </w:p>
        </w:tc>
        <w:tc>
          <w:tcPr>
            <w:tcW w:w="2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in</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numbers.</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xml:space="preserve"> Jackpot Prize Paid Today</w:t>
            </w:r>
            <w:r>
              <w:rPr>
                <w:rFonts w:ascii="Times New Roman" w:hAnsi="Times New Roman"/>
                <w:b w:val="false"/>
                <w:i w:val="false"/>
                <w:color w:val="000000"/>
                <w:sz w:val="14"/>
              </w:rPr>
              <w:t>$</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4"/>
              </w:rPr>
              <w:t>.</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0" w:type="auto"/>
            <w:gridSpan w:val="1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COMPENSATED WORKERS</w:t>
            </w:r>
          </w:p>
        </w:tc>
      </w:tr>
      <w:tr>
        <w:trPr>
          <w:trHeight w:val="195"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Name</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S.S.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Rate of Pay</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Hours</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Total Paid</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Check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Total Compensation</w:t>
            </w:r>
          </w:p>
        </w:tc>
        <w:tc>
          <w:tcPr>
            <w:tcW w:w="2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4"/>
              </w:rPr>
              <w:t>$</w:t>
            </w:r>
          </w:p>
        </w:tc>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tbl>
      <w:tblPr>
        <w:tblW w:w="5000" w:type="pct"/>
        <w:tblCellSpacing w:w="0" w:type="auto"/>
        <w:tblInd w:w="528" w:type="dxa"/>
        <w:tblBorders>
          <w:top w:val="none"/>
          <w:left w:val="none"/>
          <w:bottom w:val="none"/>
          <w:right w:val="none"/>
          <w:insideH w:val="none"/>
          <w:insideV w:val="none"/>
        </w:tblBorders>
      </w:tblPr>
      <w:tblGrid>
        <w:gridCol w:w="3369"/>
        <w:gridCol w:w="2027"/>
        <w:gridCol w:w="395"/>
        <w:gridCol w:w="971"/>
        <w:gridCol w:w="3371"/>
      </w:tblGrid>
      <w:tr>
        <w:trPr>
          <w:trHeight w:val="195"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DAILY RECAP</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xml:space="preserve"> * Gross Receipts </w:t>
            </w:r>
          </w:p>
        </w:tc>
        <w:tc>
          <w:tcPr>
            <w:tcW w:w="3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Less Cash Prizes</w:t>
            </w:r>
          </w:p>
        </w:tc>
        <w:tc>
          <w:tcPr>
            <w:tcW w:w="3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xml:space="preserve"> Total Deposit</w:t>
            </w:r>
          </w:p>
        </w:tc>
        <w:tc>
          <w:tcPr>
            <w:tcW w:w="3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tbl>
      <w:tblPr>
        <w:tblW w:w="5000" w:type="pct"/>
        <w:tblCellSpacing w:w="0" w:type="auto"/>
        <w:tblInd w:w="261" w:type="dxa"/>
        <w:tblBorders>
          <w:top w:val="none"/>
          <w:left w:val="none"/>
          <w:bottom w:val="none"/>
          <w:right w:val="none"/>
          <w:insideH w:val="none"/>
          <w:insideV w:val="none"/>
        </w:tblBorders>
      </w:tblPr>
      <w:tblGrid>
        <w:gridCol w:w="1369"/>
        <w:gridCol w:w="5976"/>
        <w:gridCol w:w="3322"/>
      </w:tblGrid>
      <w:tr>
        <w:trPr>
          <w:trHeight w:val="195" w:hRule="atLeast"/>
        </w:trPr>
        <w:tc>
          <w:tcPr>
            <w:tcW w:w="1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SIGNATURES: </w:t>
            </w:r>
          </w:p>
        </w:tc>
        <w:tc>
          <w:tcPr>
            <w:tcW w:w="5976" w:type="dxa"/>
            <w:tcBorders/>
            <w:tcMar>
              <w:top w:w="30" w:type="dxa"/>
              <w:left w:w="30" w:type="dxa"/>
              <w:bottom w:w="15" w:type="dxa"/>
              <w:right w:w="30" w:type="dxa"/>
            </w:tcMar>
            <w:vAlign w:val="top"/>
          </w:tcPr>
          <w:p>
            <w:pPr>
              <w:spacing w:before="0" w:after="0"/>
              <w:ind w:left="0"/>
              <w:jc w:val="left"/>
            </w:pPr>
          </w:p>
        </w:tc>
        <w:tc>
          <w:tcPr>
            <w:tcW w:w="33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Date </w:t>
            </w:r>
          </w:p>
        </w:tc>
      </w:tr>
      <w:tr>
        <w:trPr>
          <w:trHeight w:val="195" w:hRule="atLeast"/>
        </w:trPr>
        <w:tc>
          <w:tcPr>
            <w:tcW w:w="1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976" w:type="dxa"/>
            <w:tcBorders/>
            <w:tcMar>
              <w:top w:w="30" w:type="dxa"/>
              <w:left w:w="30" w:type="dxa"/>
              <w:bottom w:w="15" w:type="dxa"/>
              <w:right w:w="30" w:type="dxa"/>
            </w:tcMar>
            <w:vAlign w:val="top"/>
          </w:tcPr>
          <w:p>
            <w:pPr>
              <w:spacing w:before="0" w:after="0"/>
              <w:ind w:left="0"/>
              <w:jc w:val="left"/>
            </w:pPr>
          </w:p>
        </w:tc>
        <w:tc>
          <w:tcPr>
            <w:tcW w:w="33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Date </w:t>
            </w:r>
          </w:p>
        </w:tc>
      </w:tr>
    </w:tbl>
    <w:p>
      <w:pPr>
        <w:pageBreakBefore/>
        <w:spacing w:before="0" w:after="0"/>
        <w:ind w:left="120"/>
        <w:jc w:val="left"/>
      </w:pPr>
    </w:p>
    <w:p>
      <w:pPr>
        <w:spacing w:before="60" w:after="0"/>
        <w:ind w:left="120"/>
        <w:jc w:val="center"/>
      </w:pPr>
      <w:r>
        <w:rPr>
          <w:rFonts w:ascii="Times New Roman" w:hAnsi="Times New Roman"/>
          <w:b/>
          <w:i w:val="false"/>
          <w:color w:val="000000"/>
          <w:sz w:val="14"/>
        </w:rPr>
        <w:t>Iowa Department of Inspections and Appeals</w:t>
      </w:r>
    </w:p>
    <w:p>
      <w:pPr>
        <w:spacing w:before="60" w:after="0"/>
        <w:ind w:left="120"/>
        <w:jc w:val="center"/>
      </w:pPr>
      <w:r>
        <w:rPr>
          <w:rFonts w:ascii="Times New Roman" w:hAnsi="Times New Roman"/>
          <w:b/>
          <w:i w:val="false"/>
          <w:color w:val="000000"/>
          <w:sz w:val="14"/>
        </w:rPr>
        <w:t>Social and Charitable Gambling Program</w:t>
      </w:r>
    </w:p>
    <w:p>
      <w:pPr>
        <w:spacing w:before="60" w:after="0"/>
        <w:ind w:left="120"/>
        <w:jc w:val="center"/>
      </w:pPr>
      <w:r>
        <w:rPr>
          <w:rFonts w:ascii="Times New Roman" w:hAnsi="Times New Roman"/>
          <w:b w:val="false"/>
          <w:i w:val="false"/>
          <w:color w:val="000000"/>
          <w:sz w:val="14"/>
        </w:rPr>
        <w:t>TABLE B</w:t>
      </w:r>
    </w:p>
    <w:p>
      <w:pPr>
        <w:spacing w:before="60" w:after="0"/>
        <w:ind w:left="120"/>
        <w:jc w:val="center"/>
      </w:pPr>
      <w:r>
        <w:rPr>
          <w:rFonts w:ascii="Times New Roman" w:hAnsi="Times New Roman"/>
          <w:b w:val="false"/>
          <w:i w:val="false"/>
          <w:color w:val="000000"/>
          <w:sz w:val="14"/>
          <w:u w:val="single"/>
        </w:rPr>
        <w:t>Daily Bingo Summary—CASH CONTROL</w:t>
      </w:r>
    </w:p>
    <w:tbl>
      <w:tblPr>
        <w:tblW w:w="5000" w:type="pct"/>
        <w:tblCellSpacing w:w="0" w:type="auto"/>
        <w:tblInd w:w="1077" w:type="dxa"/>
        <w:tblBorders>
          <w:top w:val="single" w:color="000000" w:sz="8"/>
          <w:left w:val="single" w:color="000000" w:sz="8"/>
          <w:bottom w:val="single" w:color="000000" w:sz="8"/>
          <w:right w:val="single" w:color="000000" w:sz="8"/>
          <w:insideH w:val="none"/>
          <w:insideV w:val="none"/>
        </w:tblBorders>
      </w:tblPr>
      <w:tblGrid>
        <w:gridCol w:w="3200"/>
        <w:gridCol w:w="5835"/>
      </w:tblGrid>
      <w:tr>
        <w:trPr>
          <w:trHeight w:val="195" w:hRule="atLeast"/>
        </w:trPr>
        <w:tc>
          <w:tcPr>
            <w:tcW w:w="32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Date: </w:t>
            </w:r>
          </w:p>
        </w:tc>
        <w:tc>
          <w:tcPr>
            <w:tcW w:w="58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Licensee’s Name: </w:t>
            </w:r>
          </w:p>
        </w:tc>
      </w:tr>
      <w:tr>
        <w:trPr>
          <w:trHeight w:val="195" w:hRule="atLeast"/>
        </w:trPr>
        <w:tc>
          <w:tcPr>
            <w:tcW w:w="32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City: </w:t>
            </w:r>
          </w:p>
        </w:tc>
        <w:tc>
          <w:tcPr>
            <w:tcW w:w="58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State: </w:t>
            </w:r>
          </w:p>
        </w:tc>
      </w:tr>
    </w:tbl>
    <w:tbl>
      <w:tblPr>
        <w:tblW w:w="5000" w:type="pct"/>
        <w:tblCellSpacing w:w="0" w:type="auto"/>
        <w:tblInd w:w="315" w:type="dxa"/>
        <w:tblBorders>
          <w:top w:val="none"/>
          <w:left w:val="none"/>
          <w:bottom w:val="none"/>
          <w:right w:val="none"/>
          <w:insideH w:val="none"/>
          <w:insideV w:val="none"/>
        </w:tblBorders>
      </w:tblPr>
      <w:tblGrid>
        <w:gridCol w:w="873"/>
        <w:gridCol w:w="2007"/>
        <w:gridCol w:w="393"/>
        <w:gridCol w:w="1823"/>
        <w:gridCol w:w="1255"/>
        <w:gridCol w:w="1919"/>
        <w:gridCol w:w="1063"/>
        <w:gridCol w:w="1064"/>
        <w:gridCol w:w="163"/>
      </w:tblGrid>
      <w:tr>
        <w:trPr>
          <w:trHeight w:val="36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(1)</w:t>
            </w:r>
          </w:p>
          <w:p>
            <w:pPr>
              <w:spacing w:before="0" w:after="0"/>
              <w:ind w:left="160"/>
              <w:jc w:val="center"/>
            </w:pPr>
            <w:r>
              <w:rPr>
                <w:rFonts w:ascii="Times New Roman" w:hAnsi="Times New Roman"/>
                <w:b w:val="false"/>
                <w:i w:val="false"/>
                <w:color w:val="000000"/>
                <w:sz w:val="14"/>
              </w:rPr>
              <w:t>Gross Receipts</w:t>
            </w:r>
          </w:p>
        </w:tc>
        <w:tc>
          <w:tcPr>
            <w:tcW w:w="125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Voids</w:t>
            </w:r>
          </w:p>
          <w:p>
            <w:pPr>
              <w:spacing w:before="0" w:after="0"/>
              <w:ind w:left="160"/>
              <w:jc w:val="center"/>
            </w:pPr>
            <w:r>
              <w:rPr>
                <w:rFonts w:ascii="Times New Roman" w:hAnsi="Times New Roman"/>
                <w:b w:val="false"/>
                <w:i w:val="false"/>
                <w:color w:val="000000"/>
                <w:sz w:val="14"/>
              </w:rPr>
              <w:t>Overrings</w:t>
            </w:r>
          </w:p>
        </w:tc>
        <w:tc>
          <w:tcPr>
            <w:tcW w:w="1919"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Adjusted</w:t>
            </w:r>
          </w:p>
          <w:p>
            <w:pPr>
              <w:spacing w:before="0" w:after="0"/>
              <w:ind w:left="160"/>
              <w:jc w:val="center"/>
            </w:pPr>
            <w:r>
              <w:rPr>
                <w:rFonts w:ascii="Times New Roman" w:hAnsi="Times New Roman"/>
                <w:b w:val="false"/>
                <w:i w:val="false"/>
                <w:color w:val="000000"/>
                <w:sz w:val="14"/>
              </w:rPr>
              <w:t>Gross Receipts</w:t>
            </w:r>
          </w:p>
        </w:tc>
        <w:tc>
          <w:tcPr>
            <w:tcW w:w="106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Prize</w:t>
            </w:r>
          </w:p>
          <w:p>
            <w:pPr>
              <w:spacing w:before="0" w:after="0"/>
              <w:ind w:left="160"/>
              <w:jc w:val="center"/>
            </w:pPr>
            <w:r>
              <w:rPr>
                <w:rFonts w:ascii="Times New Roman" w:hAnsi="Times New Roman"/>
                <w:b w:val="false"/>
                <w:i w:val="false"/>
                <w:color w:val="000000"/>
                <w:sz w:val="14"/>
              </w:rPr>
              <w:t>Payouts</w:t>
            </w:r>
          </w:p>
        </w:tc>
        <w:tc>
          <w:tcPr>
            <w:tcW w:w="1064"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Net</w:t>
            </w:r>
          </w:p>
          <w:p>
            <w:pPr>
              <w:spacing w:before="0" w:after="0"/>
              <w:ind w:left="160"/>
              <w:jc w:val="center"/>
            </w:pPr>
            <w:r>
              <w:rPr>
                <w:rFonts w:ascii="Times New Roman" w:hAnsi="Times New Roman"/>
                <w:b w:val="false"/>
                <w:i w:val="false"/>
                <w:color w:val="000000"/>
                <w:sz w:val="14"/>
              </w:rPr>
              <w:t>Receipts</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EARLY BIRDS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REGULAR HARD CARDS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PACKETS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JACKPOT</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SPEEDBALL</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OTHER</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LATE BIRDS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TOTAL</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Plus Payouts by Check</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Equals Net Cash</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Equals Cash Counted</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or - Cash over/short</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JACKPOT PRIZE $______ IN ______ NUMBERS</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Equals Cash Deposit</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14"/>
          <w:u w:val="single"/>
        </w:rPr>
        <w:t>Instructions</w:t>
      </w:r>
    </w:p>
    <w:p>
      <w:pPr>
        <w:spacing w:before="0" w:after="0"/>
        <w:ind w:left="120"/>
        <w:jc w:val="both"/>
      </w:pPr>
      <w:r>
        <w:rPr>
          <w:rFonts w:ascii="Times New Roman" w:hAnsi="Times New Roman"/>
          <w:b w:val="false"/>
          <w:i w:val="false"/>
          <w:color w:val="000000"/>
          <w:sz w:val="14"/>
        </w:rPr>
        <w:t>(1) Gross Receipts per Inventory Usage Form (not cash)</w:t>
      </w:r>
    </w:p>
    <w:p>
      <w:pPr>
        <w:spacing w:before="0" w:after="0"/>
        <w:ind w:left="120"/>
        <w:jc w:val="both"/>
      </w:pPr>
      <w:r>
        <w:rPr>
          <w:rFonts w:ascii="Times New Roman" w:hAnsi="Times New Roman"/>
          <w:b w:val="false"/>
          <w:i w:val="false"/>
          <w:color w:val="000000"/>
          <w:sz w:val="14"/>
        </w:rPr>
        <w:t>(2) Attach copy of Deposit Receipt</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5057" w:type="dxa"/>
        <w:tblBorders>
          <w:top w:val="none"/>
          <w:left w:val="none"/>
          <w:bottom w:val="none"/>
          <w:right w:val="none"/>
          <w:insideH w:val="none"/>
          <w:insideV w:val="none"/>
        </w:tblBorders>
      </w:tblPr>
      <w:tblGrid>
        <w:gridCol w:w="3066"/>
        <w:gridCol w:w="3067"/>
      </w:tblGrid>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Prepared by: </w:t>
            </w:r>
          </w:p>
        </w:tc>
      </w:tr>
      <w:tr>
        <w:trPr>
          <w:trHeight w:val="195" w:hRule="atLeast"/>
        </w:trPr>
        <w:tc>
          <w:tcPr>
            <w:tcW w:w="306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2"/>
              </w:rPr>
              <w:t xml:space="preserve"> (Name)</w:t>
            </w:r>
          </w:p>
        </w:tc>
        <w:tc>
          <w:tcPr>
            <w:tcW w:w="306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(Date)</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Bingo Manager: </w:t>
            </w:r>
          </w:p>
        </w:tc>
      </w:tr>
      <w:tr>
        <w:trPr>
          <w:trHeight w:val="195" w:hRule="atLeast"/>
        </w:trPr>
        <w:tc>
          <w:tcPr>
            <w:tcW w:w="306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2"/>
              </w:rPr>
              <w:t xml:space="preserve"> (Name)</w:t>
            </w:r>
          </w:p>
        </w:tc>
        <w:tc>
          <w:tcPr>
            <w:tcW w:w="306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(Date)</w:t>
            </w:r>
          </w:p>
        </w:tc>
      </w:tr>
    </w:tbl>
    <w:p>
      <w:pPr>
        <w:pageBreakBefore/>
        <w:spacing w:before="0" w:after="0"/>
        <w:ind w:left="120"/>
        <w:jc w:val="left"/>
      </w:pPr>
    </w:p>
    <w:p>
      <w:pPr>
        <w:spacing w:before="60" w:after="0"/>
        <w:ind w:left="120"/>
        <w:jc w:val="center"/>
      </w:pPr>
      <w:r>
        <w:rPr>
          <w:rFonts w:ascii="Times New Roman" w:hAnsi="Times New Roman"/>
          <w:b/>
          <w:i w:val="false"/>
          <w:color w:val="000000"/>
          <w:sz w:val="14"/>
        </w:rPr>
        <w:t>Iowa Department of Inspections and Appeals</w:t>
      </w:r>
    </w:p>
    <w:p>
      <w:pPr>
        <w:spacing w:before="60" w:after="0"/>
        <w:ind w:left="120"/>
        <w:jc w:val="center"/>
      </w:pPr>
      <w:r>
        <w:rPr>
          <w:rFonts w:ascii="Times New Roman" w:hAnsi="Times New Roman"/>
          <w:b/>
          <w:i w:val="false"/>
          <w:color w:val="000000"/>
          <w:sz w:val="14"/>
        </w:rPr>
        <w:t>Social and Charitable Gambling Program</w:t>
      </w:r>
    </w:p>
    <w:p>
      <w:pPr>
        <w:spacing w:before="60" w:after="0"/>
        <w:ind w:left="120"/>
        <w:jc w:val="center"/>
      </w:pPr>
      <w:r>
        <w:rPr>
          <w:rFonts w:ascii="Times New Roman" w:hAnsi="Times New Roman"/>
          <w:b w:val="false"/>
          <w:i w:val="false"/>
          <w:color w:val="000000"/>
          <w:sz w:val="14"/>
        </w:rPr>
        <w:t>Daily Bingo Summary—INVENTORY USAGE</w:t>
      </w:r>
    </w:p>
    <w:p>
      <w:pPr>
        <w:spacing w:before="60" w:after="0"/>
        <w:ind w:left="120"/>
        <w:jc w:val="center"/>
      </w:pPr>
      <w:r>
        <w:rPr>
          <w:rFonts w:ascii="Times New Roman" w:hAnsi="Times New Roman"/>
          <w:b w:val="false"/>
          <w:i w:val="false"/>
          <w:color w:val="000000"/>
          <w:sz w:val="14"/>
        </w:rPr>
        <w:t>TABLE C</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8952"/>
      </w:tblGrid>
      <w:tr>
        <w:trPr>
          <w:trHeight w:val="255" w:hRule="atLeast"/>
        </w:trPr>
        <w:tc>
          <w:tcPr>
            <w:tcW w:w="895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Licensee’s Name:</w:t>
            </w:r>
          </w:p>
        </w:tc>
      </w:tr>
      <w:tr>
        <w:trPr>
          <w:trHeight w:val="255" w:hRule="atLeast"/>
        </w:trPr>
        <w:tc>
          <w:tcPr>
            <w:tcW w:w="895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Qualified Organization License #:</w:t>
            </w:r>
          </w:p>
        </w:tc>
      </w:tr>
      <w:tr>
        <w:trPr>
          <w:trHeight w:val="255" w:hRule="atLeast"/>
        </w:trPr>
        <w:tc>
          <w:tcPr>
            <w:tcW w:w="895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Address:</w:t>
            </w:r>
          </w:p>
        </w:tc>
      </w:tr>
      <w:tr>
        <w:trPr>
          <w:trHeight w:val="255" w:hRule="atLeast"/>
        </w:trPr>
        <w:tc>
          <w:tcPr>
            <w:tcW w:w="895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City, State, ZIP:</w:t>
            </w:r>
          </w:p>
        </w:tc>
      </w:tr>
    </w:tbl>
    <w:tbl>
      <w:tblPr>
        <w:tblW w:w="5000" w:type="pct"/>
        <w:tblCellSpacing w:w="0" w:type="auto"/>
        <w:tblBorders>
          <w:top w:val="none"/>
          <w:left w:val="none"/>
          <w:bottom w:val="none"/>
          <w:right w:val="none"/>
          <w:insideH w:val="none"/>
          <w:insideV w:val="none"/>
        </w:tblBorders>
      </w:tblPr>
      <w:tblGrid>
        <w:gridCol w:w="4174"/>
      </w:tblGrid>
      <w:tr>
        <w:trPr>
          <w:trHeight w:val="480" w:hRule="atLeast"/>
        </w:trPr>
        <w:tc>
          <w:tcPr>
            <w:tcW w:w="41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Today’s Date: ______________________</w:t>
            </w:r>
          </w:p>
          <w:p>
            <w:pPr>
              <w:spacing w:before="0" w:after="0"/>
              <w:ind w:left="160"/>
              <w:jc w:val="left"/>
            </w:pPr>
            <w:r>
              <w:rPr>
                <w:rFonts w:ascii="Times New Roman" w:hAnsi="Times New Roman"/>
                <w:b w:val="false"/>
                <w:i w:val="false"/>
                <w:color w:val="000000"/>
                <w:sz w:val="18"/>
              </w:rPr>
              <w:t> </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713"/>
        <w:gridCol w:w="800"/>
        <w:gridCol w:w="1003"/>
        <w:gridCol w:w="1121"/>
        <w:gridCol w:w="1166"/>
        <w:gridCol w:w="1545"/>
        <w:gridCol w:w="580"/>
        <w:gridCol w:w="1030"/>
        <w:gridCol w:w="994"/>
      </w:tblGrid>
      <w:tr>
        <w:trPr>
          <w:trHeight w:val="255"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Loose Sheet Bingo Paper Inventory</w:t>
            </w:r>
          </w:p>
        </w:tc>
      </w:tr>
      <w:tr>
        <w:trPr>
          <w:trHeight w:val="675" w:hRule="atLeast"/>
        </w:trPr>
        <w:tc>
          <w:tcPr>
            <w:tcW w:w="71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Color</w:t>
            </w:r>
          </w:p>
        </w:tc>
        <w:tc>
          <w:tcPr>
            <w:tcW w:w="80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Paper Size</w:t>
            </w:r>
          </w:p>
        </w:tc>
        <w:tc>
          <w:tcPr>
            <w:tcW w:w="100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Game(s) Played</w:t>
            </w:r>
          </w:p>
        </w:tc>
        <w:tc>
          <w:tcPr>
            <w:tcW w:w="11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 Count Start</w:t>
            </w:r>
          </w:p>
        </w:tc>
        <w:tc>
          <w:tcPr>
            <w:tcW w:w="116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Purchases</w:t>
            </w:r>
          </w:p>
        </w:tc>
        <w:tc>
          <w:tcPr>
            <w:tcW w:w="154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Voids/ Packet Assembly</w:t>
            </w:r>
          </w:p>
        </w:tc>
        <w:tc>
          <w:tcPr>
            <w:tcW w:w="58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 Sold</w:t>
            </w:r>
          </w:p>
        </w:tc>
        <w:tc>
          <w:tcPr>
            <w:tcW w:w="103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Over/ Under)</w:t>
            </w:r>
          </w:p>
        </w:tc>
        <w:tc>
          <w:tcPr>
            <w:tcW w:w="99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 Count End</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9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9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9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9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9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0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2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4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3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9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973"/>
        <w:gridCol w:w="800"/>
        <w:gridCol w:w="1131"/>
        <w:gridCol w:w="1265"/>
        <w:gridCol w:w="1166"/>
        <w:gridCol w:w="713"/>
        <w:gridCol w:w="634"/>
        <w:gridCol w:w="1155"/>
        <w:gridCol w:w="1115"/>
      </w:tblGrid>
      <w:tr>
        <w:trPr>
          <w:trHeight w:val="255"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Preassembled Bingo Packets</w:t>
            </w:r>
          </w:p>
        </w:tc>
      </w:tr>
      <w:tr>
        <w:trPr>
          <w:trHeight w:val="675" w:hRule="atLeast"/>
        </w:trPr>
        <w:tc>
          <w:tcPr>
            <w:tcW w:w="97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Color on Top</w:t>
            </w:r>
          </w:p>
        </w:tc>
        <w:tc>
          <w:tcPr>
            <w:tcW w:w="80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Paper Size</w:t>
            </w:r>
          </w:p>
        </w:tc>
        <w:tc>
          <w:tcPr>
            <w:tcW w:w="113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Game(s) Played</w:t>
            </w:r>
          </w:p>
        </w:tc>
        <w:tc>
          <w:tcPr>
            <w:tcW w:w="126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 Count Start</w:t>
            </w:r>
          </w:p>
        </w:tc>
        <w:tc>
          <w:tcPr>
            <w:tcW w:w="116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Purchases</w:t>
            </w:r>
          </w:p>
        </w:tc>
        <w:tc>
          <w:tcPr>
            <w:tcW w:w="71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Voids</w:t>
            </w:r>
          </w:p>
        </w:tc>
        <w:tc>
          <w:tcPr>
            <w:tcW w:w="63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 Sold</w:t>
            </w:r>
          </w:p>
        </w:tc>
        <w:tc>
          <w:tcPr>
            <w:tcW w:w="11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Over/ Under)</w:t>
            </w:r>
          </w:p>
        </w:tc>
        <w:tc>
          <w:tcPr>
            <w:tcW w:w="111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 Count End</w:t>
            </w:r>
          </w:p>
        </w:tc>
      </w:tr>
      <w:tr>
        <w:trPr>
          <w:trHeight w:val="255" w:hRule="atLeast"/>
        </w:trPr>
        <w:tc>
          <w:tcPr>
            <w:tcW w:w="9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9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97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6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3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5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968"/>
        <w:gridCol w:w="800"/>
        <w:gridCol w:w="1125"/>
        <w:gridCol w:w="1258"/>
        <w:gridCol w:w="1233"/>
        <w:gridCol w:w="713"/>
        <w:gridCol w:w="623"/>
        <w:gridCol w:w="1136"/>
        <w:gridCol w:w="1096"/>
      </w:tblGrid>
      <w:tr>
        <w:trPr>
          <w:trHeight w:val="255"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Bingo Packets Assembled In-House</w:t>
            </w:r>
          </w:p>
        </w:tc>
      </w:tr>
      <w:tr>
        <w:trPr>
          <w:trHeight w:val="405" w:hRule="atLeast"/>
        </w:trPr>
        <w:tc>
          <w:tcPr>
            <w:tcW w:w="0" w:type="auto"/>
            <w:gridSpan w:val="9"/>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When you assemble these packets, you must also decrease the applicable loose sheet bingo paper inventory above using the column Voids/Packet Assembly.</w:t>
            </w:r>
          </w:p>
        </w:tc>
      </w:tr>
      <w:tr>
        <w:trPr>
          <w:trHeight w:val="675" w:hRule="atLeast"/>
        </w:trPr>
        <w:tc>
          <w:tcPr>
            <w:tcW w:w="9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Color on Top</w:t>
            </w:r>
          </w:p>
        </w:tc>
        <w:tc>
          <w:tcPr>
            <w:tcW w:w="80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Paper Size</w:t>
            </w:r>
          </w:p>
        </w:tc>
        <w:tc>
          <w:tcPr>
            <w:tcW w:w="112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Game(s) Played</w:t>
            </w:r>
          </w:p>
        </w:tc>
        <w:tc>
          <w:tcPr>
            <w:tcW w:w="125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 Count Start</w:t>
            </w:r>
          </w:p>
        </w:tc>
        <w:tc>
          <w:tcPr>
            <w:tcW w:w="123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Assembled</w:t>
            </w:r>
          </w:p>
        </w:tc>
        <w:tc>
          <w:tcPr>
            <w:tcW w:w="71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Voids</w:t>
            </w:r>
          </w:p>
        </w:tc>
        <w:tc>
          <w:tcPr>
            <w:tcW w:w="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 Sold</w:t>
            </w:r>
          </w:p>
        </w:tc>
        <w:tc>
          <w:tcPr>
            <w:tcW w:w="11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Over/ Under)</w:t>
            </w:r>
          </w:p>
        </w:tc>
        <w:tc>
          <w:tcPr>
            <w:tcW w:w="109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 Count End</w:t>
            </w:r>
          </w:p>
        </w:tc>
      </w:tr>
      <w:tr>
        <w:trPr>
          <w:trHeight w:val="255" w:hRule="atLeast"/>
        </w:trPr>
        <w:tc>
          <w:tcPr>
            <w:tcW w:w="9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3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9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9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3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9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96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2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3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2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3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left"/>
      </w:pPr>
      <w:r>
        <w:rPr>
          <w:rFonts w:ascii="Times New Roman" w:hAnsi="Times New Roman"/>
          <w:b w:val="false"/>
          <w:i w:val="false"/>
          <w:color w:val="000000"/>
          <w:sz w:val="22"/>
        </w:rPr>
        <w:t> </w:t>
      </w:r>
    </w:p>
    <w:p>
      <w:pPr>
        <w:spacing w:before="60" w:after="0"/>
        <w:ind w:left="120"/>
        <w:jc w:val="center"/>
      </w:pPr>
      <w:r>
        <w:rPr>
          <w:rFonts w:ascii="Times New Roman" w:hAnsi="Times New Roman"/>
          <w:b w:val="false"/>
          <w:i w:val="false"/>
          <w:color w:val="000000"/>
          <w:sz w:val="14"/>
        </w:rPr>
        <w:t>TABLE D</w:t>
      </w:r>
    </w:p>
    <w:p>
      <w:pPr>
        <w:spacing w:before="60" w:after="0"/>
        <w:ind w:left="120"/>
        <w:jc w:val="center"/>
      </w:pPr>
      <w:r>
        <w:rPr>
          <w:rFonts w:ascii="Times New Roman" w:hAnsi="Times New Roman"/>
          <w:b w:val="false"/>
          <w:i w:val="false"/>
          <w:color w:val="000000"/>
          <w:sz w:val="14"/>
        </w:rPr>
        <w:t>HARD CARD TICKET LOG</w:t>
      </w:r>
    </w:p>
    <w:p>
      <w:pPr>
        <w:spacing w:before="60" w:after="0"/>
        <w:ind w:left="120"/>
        <w:jc w:val="center"/>
      </w:pPr>
      <w:r>
        <w:rPr>
          <w:rFonts w:ascii="Times New Roman" w:hAnsi="Times New Roman"/>
          <w:b w:val="false"/>
          <w:i w:val="false"/>
          <w:color w:val="000000"/>
          <w:sz w:val="14"/>
        </w:rPr>
        <w:t>INVENTORY</w:t>
      </w:r>
    </w:p>
    <w:tbl>
      <w:tblPr>
        <w:tblW w:w="5000" w:type="pct"/>
        <w:tblCellSpacing w:w="0" w:type="auto"/>
        <w:tblInd w:w="4068" w:type="dxa"/>
        <w:tblBorders>
          <w:top w:val="none"/>
          <w:left w:val="none"/>
          <w:bottom w:val="none"/>
          <w:right w:val="none"/>
          <w:insideH w:val="none"/>
          <w:insideV w:val="none"/>
        </w:tblBorders>
      </w:tblPr>
      <w:tblGrid>
        <w:gridCol w:w="3054"/>
      </w:tblGrid>
      <w:tr>
        <w:trPr>
          <w:trHeight w:val="195" w:hRule="atLeast"/>
        </w:trPr>
        <w:tc>
          <w:tcPr>
            <w:tcW w:w="305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Rescinded IAB 4/1/15, effective 5/6/15</w:t>
            </w:r>
          </w:p>
        </w:tc>
      </w:tr>
    </w:tbl>
    <w:p>
      <w:pPr>
        <w:spacing w:before="60" w:after="0"/>
        <w:ind w:left="120"/>
        <w:jc w:val="center"/>
      </w:pPr>
      <w:r>
        <w:rPr>
          <w:rFonts w:ascii="Times New Roman" w:hAnsi="Times New Roman"/>
          <w:b w:val="false"/>
          <w:i w:val="false"/>
          <w:color w:val="000000"/>
          <w:sz w:val="14"/>
        </w:rPr>
        <w:t>TABLE E</w:t>
      </w:r>
    </w:p>
    <w:p>
      <w:pPr>
        <w:spacing w:before="60" w:after="0"/>
        <w:ind w:left="120"/>
        <w:jc w:val="center"/>
      </w:pPr>
      <w:r>
        <w:rPr>
          <w:rFonts w:ascii="Times New Roman" w:hAnsi="Times New Roman"/>
          <w:b w:val="false"/>
          <w:i w:val="false"/>
          <w:color w:val="000000"/>
          <w:sz w:val="14"/>
        </w:rPr>
        <w:t>DISBURSEMENTS JOURNAL</w:t>
      </w:r>
    </w:p>
    <w:tbl>
      <w:tblPr>
        <w:tblW w:w="5000" w:type="pct"/>
        <w:tblCellSpacing w:w="0" w:type="auto"/>
        <w:tblInd w:w="3928" w:type="dxa"/>
        <w:tblBorders>
          <w:top w:val="none"/>
          <w:left w:val="none"/>
          <w:bottom w:val="none"/>
          <w:right w:val="none"/>
          <w:insideH w:val="none"/>
          <w:insideV w:val="none"/>
        </w:tblBorders>
      </w:tblPr>
      <w:tblGrid>
        <w:gridCol w:w="3333"/>
      </w:tblGrid>
      <w:tr>
        <w:trPr>
          <w:trHeight w:val="195" w:hRule="atLeast"/>
        </w:trPr>
        <w:tc>
          <w:tcPr>
            <w:tcW w:w="3333"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Rescinded IAB 9/26/18, effective 10/31/18</w:t>
            </w:r>
          </w:p>
        </w:tc>
      </w:tr>
    </w:tbl>
    <w:p>
      <w:pPr>
        <w:spacing w:before="0" w:after="0"/>
        <w:ind w:left="120"/>
        <w:jc w:val="left"/>
      </w:pPr>
      <w:r>
        <w:rPr>
          <w:rFonts w:ascii="Times New Roman" w:hAnsi="Times New Roman"/>
          <w:b w:val="false"/>
          <w:i w:val="false"/>
          <w:color w:val="000000"/>
          <w:sz w:val="22"/>
        </w:rPr>
        <w:t> </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EMPLOYEE RECORD</w:t>
      </w:r>
    </w:p>
    <w:p>
      <w:pPr>
        <w:spacing w:before="0" w:after="0"/>
        <w:ind w:left="120"/>
        <w:jc w:val="center"/>
      </w:pPr>
      <w:r>
        <w:rPr>
          <w:rFonts w:ascii="Times New Roman" w:hAnsi="Times New Roman"/>
          <w:b w:val="false"/>
          <w:i w:val="false"/>
          <w:color w:val="000000"/>
          <w:sz w:val="22"/>
        </w:rPr>
        <w:t>OF</w:t>
      </w:r>
    </w:p>
    <w:p>
      <w:pPr>
        <w:spacing w:before="0" w:after="0"/>
        <w:ind w:left="120"/>
        <w:jc w:val="center"/>
      </w:pPr>
      <w:r>
        <w:rPr>
          <w:rFonts w:ascii="Times New Roman" w:hAnsi="Times New Roman"/>
          <w:b w:val="false"/>
          <w:i w:val="false"/>
          <w:color w:val="000000"/>
          <w:sz w:val="22"/>
        </w:rPr>
        <w:t>COMPENSATED PEOPLE</w:t>
      </w:r>
    </w:p>
    <w:p>
      <w:pPr>
        <w:spacing w:before="0" w:after="0"/>
        <w:ind w:left="120"/>
        <w:jc w:val="center"/>
      </w:pPr>
      <w:r>
        <w:rPr>
          <w:rFonts w:ascii="Times New Roman" w:hAnsi="Times New Roman"/>
          <w:b w:val="false"/>
          <w:i w:val="false"/>
          <w:color w:val="000000"/>
          <w:sz w:val="22"/>
        </w:rPr>
        <w:t>TABLE F</w:t>
      </w:r>
    </w:p>
    <w:p>
      <w:pPr>
        <w:spacing w:before="0" w:after="0"/>
        <w:ind w:left="120"/>
        <w:jc w:val="both"/>
      </w:pPr>
      <w:r>
        <w:rPr>
          <w:rFonts w:ascii="Times New Roman" w:hAnsi="Times New Roman"/>
          <w:b w:val="false"/>
          <w:i w:val="false"/>
          <w:color w:val="000000"/>
          <w:sz w:val="14"/>
        </w:rPr>
        <w:t xml:space="preserve">Name </w:t>
      </w:r>
    </w:p>
    <w:p>
      <w:pPr>
        <w:spacing w:before="0" w:after="0"/>
        <w:ind w:left="120"/>
        <w:jc w:val="both"/>
      </w:pPr>
      <w:r>
        <w:rPr>
          <w:rFonts w:ascii="Times New Roman" w:hAnsi="Times New Roman"/>
          <w:b w:val="false"/>
          <w:i w:val="false"/>
          <w:color w:val="000000"/>
          <w:sz w:val="14"/>
        </w:rPr>
        <w:t xml:space="preserve">Address </w:t>
      </w:r>
    </w:p>
    <w:p>
      <w:pPr>
        <w:spacing w:before="0" w:after="0"/>
        <w:ind w:left="120"/>
        <w:jc w:val="both"/>
      </w:pPr>
      <w:r>
        <w:rPr>
          <w:rFonts w:ascii="Times New Roman" w:hAnsi="Times New Roman"/>
          <w:b w:val="false"/>
          <w:i w:val="false"/>
          <w:color w:val="000000"/>
          <w:sz w:val="14"/>
        </w:rPr>
        <w:t xml:space="preserve">Social Security Number </w:t>
      </w:r>
    </w:p>
    <w:p>
      <w:pPr>
        <w:spacing w:before="0" w:after="0"/>
        <w:ind w:left="120"/>
        <w:jc w:val="both"/>
      </w:pPr>
      <w:r>
        <w:rPr>
          <w:rFonts w:ascii="Times New Roman" w:hAnsi="Times New Roman"/>
          <w:b w:val="false"/>
          <w:i w:val="false"/>
          <w:color w:val="000000"/>
          <w:sz w:val="14"/>
        </w:rPr>
        <w:t xml:space="preserve">Times and number of hours worked </w:t>
      </w:r>
    </w:p>
    <w:p>
      <w:pPr>
        <w:spacing w:before="0" w:after="0"/>
        <w:ind w:left="120"/>
        <w:jc w:val="both"/>
      </w:pPr>
      <w:r>
        <w:rPr>
          <w:rFonts w:ascii="Times New Roman" w:hAnsi="Times New Roman"/>
          <w:b w:val="false"/>
          <w:i w:val="false"/>
          <w:color w:val="000000"/>
          <w:sz w:val="14"/>
        </w:rPr>
        <w:t xml:space="preserve">Wage per hour </w:t>
      </w:r>
    </w:p>
    <w:p>
      <w:pPr>
        <w:spacing w:before="0" w:after="0"/>
        <w:ind w:left="120"/>
        <w:jc w:val="both"/>
      </w:pPr>
      <w:r>
        <w:rPr>
          <w:rFonts w:ascii="Times New Roman" w:hAnsi="Times New Roman"/>
          <w:b w:val="false"/>
          <w:i w:val="false"/>
          <w:color w:val="000000"/>
          <w:sz w:val="14"/>
        </w:rPr>
        <w:t xml:space="preserve">Total wages paid, taxes withheld, and check # </w:t>
      </w:r>
    </w:p>
    <w:p>
      <w:pPr>
        <w:spacing w:before="0" w:after="0"/>
        <w:ind w:left="120"/>
        <w:jc w:val="both"/>
      </w:pPr>
    </w:p>
    <w:p>
      <w:pPr>
        <w:spacing w:before="0" w:after="0"/>
        <w:ind w:left="120"/>
        <w:jc w:val="both"/>
      </w:pPr>
      <w:r>
        <w:rPr>
          <w:rFonts w:ascii="Times New Roman" w:hAnsi="Times New Roman"/>
          <w:b w:val="false"/>
          <w:i w:val="false"/>
          <w:color w:val="000000"/>
          <w:sz w:val="14"/>
        </w:rPr>
        <w:t xml:space="preserve">Occasion Date </w:t>
      </w:r>
    </w:p>
    <w:p>
      <w:pPr>
        <w:spacing w:before="0" w:after="0"/>
        <w:ind w:left="120"/>
        <w:jc w:val="both"/>
      </w:pPr>
      <w:r>
        <w:rPr>
          <w:rFonts w:ascii="Times New Roman" w:hAnsi="Times New Roman"/>
          <w:b w:val="false"/>
          <w:i w:val="false"/>
          <w:color w:val="000000"/>
          <w:sz w:val="14"/>
        </w:rPr>
        <w:t xml:space="preserve">Number of players at this occasion </w:t>
      </w:r>
    </w:p>
    <w:p>
      <w:pPr>
        <w:spacing w:before="0" w:after="0"/>
        <w:ind w:left="120"/>
        <w:jc w:val="both"/>
      </w:pPr>
      <w:r>
        <w:rPr>
          <w:rFonts w:ascii="Times New Roman" w:hAnsi="Times New Roman"/>
          <w:b w:val="false"/>
          <w:i w:val="false"/>
          <w:color w:val="000000"/>
          <w:sz w:val="14"/>
        </w:rPr>
        <w:t xml:space="preserve">LICENSEE </w:t>
      </w:r>
    </w:p>
    <w:p>
      <w:pPr>
        <w:spacing w:before="0" w:after="0"/>
        <w:ind w:left="120"/>
        <w:jc w:val="both"/>
      </w:pPr>
      <w:r>
        <w:rPr>
          <w:rFonts w:ascii="Times New Roman" w:hAnsi="Times New Roman"/>
          <w:b w:val="false"/>
          <w:i w:val="false"/>
          <w:color w:val="000000"/>
          <w:sz w:val="14"/>
        </w:rPr>
        <w:t xml:space="preserve">SUBMITTED BY </w:t>
      </w:r>
    </w:p>
    <w:p>
      <w:pPr>
        <w:spacing w:before="0" w:after="0"/>
        <w:ind w:left="120"/>
        <w:jc w:val="both"/>
      </w:pP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EMPLOYEE RECORD</w:t>
      </w:r>
    </w:p>
    <w:p>
      <w:pPr>
        <w:spacing w:before="0" w:after="0"/>
        <w:ind w:left="120"/>
        <w:jc w:val="center"/>
      </w:pPr>
      <w:r>
        <w:rPr>
          <w:rFonts w:ascii="Times New Roman" w:hAnsi="Times New Roman"/>
          <w:b w:val="false"/>
          <w:i w:val="false"/>
          <w:color w:val="000000"/>
          <w:sz w:val="22"/>
        </w:rPr>
        <w:t>OF</w:t>
      </w:r>
    </w:p>
    <w:p>
      <w:pPr>
        <w:spacing w:before="0" w:after="0"/>
        <w:ind w:left="120"/>
        <w:jc w:val="center"/>
      </w:pPr>
      <w:r>
        <w:rPr>
          <w:rFonts w:ascii="Times New Roman" w:hAnsi="Times New Roman"/>
          <w:b w:val="false"/>
          <w:i w:val="false"/>
          <w:color w:val="000000"/>
          <w:sz w:val="22"/>
        </w:rPr>
        <w:t>COMPENSATED PEOPLE</w:t>
      </w:r>
    </w:p>
    <w:p>
      <w:pPr>
        <w:spacing w:before="0" w:after="0"/>
        <w:ind w:left="120"/>
        <w:jc w:val="center"/>
      </w:pPr>
      <w:r>
        <w:rPr>
          <w:rFonts w:ascii="Times New Roman" w:hAnsi="Times New Roman"/>
          <w:b w:val="false"/>
          <w:i w:val="false"/>
          <w:color w:val="000000"/>
          <w:sz w:val="22"/>
        </w:rPr>
        <w:t>TABLE F</w:t>
      </w:r>
    </w:p>
    <w:p>
      <w:pPr>
        <w:spacing w:before="0" w:after="0"/>
        <w:ind w:left="120"/>
        <w:jc w:val="both"/>
      </w:pPr>
      <w:r>
        <w:rPr>
          <w:rFonts w:ascii="Times New Roman" w:hAnsi="Times New Roman"/>
          <w:b w:val="false"/>
          <w:i w:val="false"/>
          <w:color w:val="000000"/>
          <w:sz w:val="14"/>
        </w:rPr>
        <w:t xml:space="preserve">Name </w:t>
      </w:r>
    </w:p>
    <w:p>
      <w:pPr>
        <w:spacing w:before="0" w:after="0"/>
        <w:ind w:left="120"/>
        <w:jc w:val="both"/>
      </w:pPr>
      <w:r>
        <w:rPr>
          <w:rFonts w:ascii="Times New Roman" w:hAnsi="Times New Roman"/>
          <w:b w:val="false"/>
          <w:i w:val="false"/>
          <w:color w:val="000000"/>
          <w:sz w:val="14"/>
        </w:rPr>
        <w:t xml:space="preserve">Address </w:t>
      </w:r>
    </w:p>
    <w:p>
      <w:pPr>
        <w:spacing w:before="0" w:after="0"/>
        <w:ind w:left="120"/>
        <w:jc w:val="both"/>
      </w:pPr>
      <w:r>
        <w:rPr>
          <w:rFonts w:ascii="Times New Roman" w:hAnsi="Times New Roman"/>
          <w:b w:val="false"/>
          <w:i w:val="false"/>
          <w:color w:val="000000"/>
          <w:sz w:val="14"/>
        </w:rPr>
        <w:t xml:space="preserve">Social Security Number </w:t>
      </w:r>
    </w:p>
    <w:p>
      <w:pPr>
        <w:spacing w:before="0" w:after="0"/>
        <w:ind w:left="120"/>
        <w:jc w:val="both"/>
      </w:pPr>
      <w:r>
        <w:rPr>
          <w:rFonts w:ascii="Times New Roman" w:hAnsi="Times New Roman"/>
          <w:b w:val="false"/>
          <w:i w:val="false"/>
          <w:color w:val="000000"/>
          <w:sz w:val="14"/>
        </w:rPr>
        <w:t xml:space="preserve">Times and number of hours worked </w:t>
      </w:r>
    </w:p>
    <w:p>
      <w:pPr>
        <w:spacing w:before="0" w:after="0"/>
        <w:ind w:left="120"/>
        <w:jc w:val="both"/>
      </w:pPr>
      <w:r>
        <w:rPr>
          <w:rFonts w:ascii="Times New Roman" w:hAnsi="Times New Roman"/>
          <w:b w:val="false"/>
          <w:i w:val="false"/>
          <w:color w:val="000000"/>
          <w:sz w:val="14"/>
        </w:rPr>
        <w:t xml:space="preserve">Wage per hour </w:t>
      </w:r>
    </w:p>
    <w:p>
      <w:pPr>
        <w:spacing w:before="0" w:after="0"/>
        <w:ind w:left="120"/>
        <w:jc w:val="both"/>
      </w:pPr>
      <w:r>
        <w:rPr>
          <w:rFonts w:ascii="Times New Roman" w:hAnsi="Times New Roman"/>
          <w:b w:val="false"/>
          <w:i w:val="false"/>
          <w:color w:val="000000"/>
          <w:sz w:val="14"/>
        </w:rPr>
        <w:t xml:space="preserve">Total wages paid, taxes withheld, and check # </w:t>
      </w:r>
    </w:p>
    <w:p>
      <w:pPr>
        <w:spacing w:before="0" w:after="0"/>
        <w:ind w:left="120"/>
        <w:jc w:val="both"/>
      </w:pPr>
    </w:p>
    <w:p>
      <w:pPr>
        <w:spacing w:before="0" w:after="0"/>
        <w:ind w:left="120"/>
        <w:jc w:val="both"/>
      </w:pPr>
      <w:r>
        <w:rPr>
          <w:rFonts w:ascii="Times New Roman" w:hAnsi="Times New Roman"/>
          <w:b w:val="false"/>
          <w:i w:val="false"/>
          <w:color w:val="000000"/>
          <w:sz w:val="14"/>
        </w:rPr>
        <w:t xml:space="preserve">Occasion Date </w:t>
      </w:r>
    </w:p>
    <w:p>
      <w:pPr>
        <w:spacing w:before="0" w:after="0"/>
        <w:ind w:left="120"/>
        <w:jc w:val="both"/>
      </w:pPr>
      <w:r>
        <w:rPr>
          <w:rFonts w:ascii="Times New Roman" w:hAnsi="Times New Roman"/>
          <w:b w:val="false"/>
          <w:i w:val="false"/>
          <w:color w:val="000000"/>
          <w:sz w:val="14"/>
        </w:rPr>
        <w:t xml:space="preserve">Number of players at this occasion </w:t>
      </w:r>
    </w:p>
    <w:p>
      <w:pPr>
        <w:spacing w:before="0" w:after="0"/>
        <w:ind w:left="120"/>
        <w:jc w:val="both"/>
      </w:pPr>
      <w:r>
        <w:rPr>
          <w:rFonts w:ascii="Times New Roman" w:hAnsi="Times New Roman"/>
          <w:b w:val="false"/>
          <w:i w:val="false"/>
          <w:color w:val="000000"/>
          <w:sz w:val="14"/>
        </w:rPr>
        <w:t xml:space="preserve">LICENSEE </w:t>
      </w:r>
    </w:p>
    <w:p>
      <w:pPr>
        <w:spacing w:before="0" w:after="0"/>
        <w:ind w:left="120"/>
        <w:jc w:val="both"/>
      </w:pPr>
      <w:r>
        <w:rPr>
          <w:rFonts w:ascii="Times New Roman" w:hAnsi="Times New Roman"/>
          <w:b w:val="false"/>
          <w:i w:val="false"/>
          <w:color w:val="000000"/>
          <w:sz w:val="14"/>
        </w:rPr>
        <w:t xml:space="preserve">SUBMITTED BY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60" w:after="0"/>
        <w:ind w:left="120"/>
        <w:jc w:val="center"/>
      </w:pPr>
      <w:r>
        <w:rPr>
          <w:rFonts w:ascii="Times New Roman" w:hAnsi="Times New Roman"/>
          <w:b w:val="false"/>
          <w:i w:val="false"/>
          <w:color w:val="000000"/>
          <w:sz w:val="14"/>
        </w:rPr>
        <w:t>TABLE G</w:t>
      </w:r>
    </w:p>
    <w:p>
      <w:pPr>
        <w:spacing w:before="60" w:after="0"/>
        <w:ind w:left="120"/>
        <w:jc w:val="center"/>
      </w:pPr>
      <w:r>
        <w:rPr>
          <w:rFonts w:ascii="Times New Roman" w:hAnsi="Times New Roman"/>
          <w:b w:val="false"/>
          <w:i w:val="false"/>
          <w:color w:val="000000"/>
          <w:sz w:val="14"/>
        </w:rPr>
        <w:t>CHECK INFORMATION REQUIREMENTS</w:t>
      </w:r>
    </w:p>
    <w:tbl>
      <w:tblPr>
        <w:tblW w:w="5000" w:type="pct"/>
        <w:tblCellSpacing w:w="0" w:type="auto"/>
        <w:tblInd w:w="3928" w:type="dxa"/>
        <w:tblBorders>
          <w:top w:val="none"/>
          <w:left w:val="none"/>
          <w:bottom w:val="none"/>
          <w:right w:val="none"/>
          <w:insideH w:val="none"/>
          <w:insideV w:val="none"/>
        </w:tblBorders>
      </w:tblPr>
      <w:tblGrid>
        <w:gridCol w:w="3333"/>
      </w:tblGrid>
      <w:tr>
        <w:trPr>
          <w:trHeight w:val="195" w:hRule="atLeast"/>
        </w:trPr>
        <w:tc>
          <w:tcPr>
            <w:tcW w:w="3333"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Rescinded IAB 9/26/18, effective 10/31/18</w:t>
            </w:r>
          </w:p>
        </w:tc>
      </w:tr>
    </w:tbl>
    <w:p>
      <w:pPr>
        <w:spacing w:before="0" w:after="0"/>
        <w:ind w:left="120"/>
        <w:jc w:val="both"/>
      </w:pPr>
      <w:r>
        <w:drawing>
          <wp:inline distT="0" distB="0" distL="0" distR="0">
            <wp:extent cx="4444841" cy="7340441"/>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26"/>
                    <a:stretch>
                      <a:fillRect/>
                    </a:stretch>
                  </pic:blipFill>
                  <pic:spPr>
                    <a:xfrm>
                      <a:off x="0" y="0"/>
                      <a:ext cx="4444841" cy="7340441"/>
                    </a:xfrm>
                    <a:prstGeom prst="rect">
                      <a:avLst/>
                    </a:prstGeom>
                  </pic:spPr>
                </pic:pic>
              </a:graphicData>
            </a:graphic>
          </wp:inline>
        </w:drawing>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B.pdf" Type="http://schemas.openxmlformats.org/officeDocument/2006/relationships/hyperlink" Id="rId5"/>
    <Relationship TargetMode="External" Target="https://www.legis.iowa.gov/docs/iac/rule/481.100.1.pdf" Type="http://schemas.openxmlformats.org/officeDocument/2006/relationships/hyperlink" Id="rId6"/>
    <Relationship TargetMode="External" Target="https://www.legis.iowa.gov/docs/ico/chapter/99B.1.pdf" Type="http://schemas.openxmlformats.org/officeDocument/2006/relationships/hyperlink" Id="rId7"/>
    <Relationship TargetMode="External" Target="https://www.legis.iowa.gov/docs/iac/chapter/481.103.pdf" Type="http://schemas.openxmlformats.org/officeDocument/2006/relationships/hyperlink" Id="rId8"/>
    <Relationship TargetMode="External" Target="https://www.legis.iowa.gov/docs/iac/rule/481.103.6.pdf" Type="http://schemas.openxmlformats.org/officeDocument/2006/relationships/hyperlink" Id="rId9"/>
    <Relationship TargetMode="External" Target="https://www.legis.iowa.gov/docs/iac/rule/481.103.6.pdf" Type="http://schemas.openxmlformats.org/officeDocument/2006/relationships/hyperlink" Id="rId10"/>
    <Relationship TargetMode="External" Target="https://www.legis.iowa.gov/docs/ico/chapter/99B.21.pdf" Type="http://schemas.openxmlformats.org/officeDocument/2006/relationships/hyperlink" Id="rId11"/>
    <Relationship TargetMode="External" Target="https://www.legis.iowa.gov/docs/ico/chapter/422.16.pdf" Type="http://schemas.openxmlformats.org/officeDocument/2006/relationships/hyperlink" Id="rId12"/>
    <Relationship TargetMode="External" Target="https://www.legis.iowa.gov/docs/ico/chapter/717D.2.pdf" Type="http://schemas.openxmlformats.org/officeDocument/2006/relationships/hyperlink" Id="rId13"/>
    <Relationship TargetMode="External" Target="https://www.legis.iowa.gov/docs/ico/chapter/725.12.pdf" Type="http://schemas.openxmlformats.org/officeDocument/2006/relationships/hyperlink" Id="rId14"/>
    <Relationship TargetMode="External" Target="https://www.legis.iowa.gov/docs/iac/rule/481.103.13.pdf" Type="http://schemas.openxmlformats.org/officeDocument/2006/relationships/hyperlink" Id="rId15"/>
    <Relationship TargetMode="External" Target="https://www.legis.iowa.gov/docs/ico/chapter/99B.21.pdf" Type="http://schemas.openxmlformats.org/officeDocument/2006/relationships/hyperlink" Id="rId16"/>
    <Relationship TargetMode="External" Target="https://www.legis.iowa.gov/docs/iac/rule/481.103.16.pdf" Type="http://schemas.openxmlformats.org/officeDocument/2006/relationships/hyperlink" Id="rId17"/>
    <Relationship TargetMode="External" Target="http://dia.iowa.gov" Type="http://schemas.openxmlformats.org/officeDocument/2006/relationships/hyperlink" Id="rId18"/>
    <Relationship TargetMode="External" Target="https://www.legis.iowa.gov/docs/ico/chapter/99B.7.pdf" Type="http://schemas.openxmlformats.org/officeDocument/2006/relationships/hyperlink" Id="rId19"/>
    <Relationship TargetMode="External" Target="https://www.legis.iowa.gov/docs/ico/chapter/99B.22.pdf" Type="http://schemas.openxmlformats.org/officeDocument/2006/relationships/hyperlink" Id="rId20"/>
    <Relationship TargetMode="External" Target="https://www.legis.iowa.gov/docs/ico/chapter/99B.12.pdf" Type="http://schemas.openxmlformats.org/officeDocument/2006/relationships/hyperlink" Id="rId21"/>
    <Relationship TargetMode="External" Target="https://www.legis.iowa.gov/docs/ico/chapter/99B.1-7.pdf" Type="http://schemas.openxmlformats.org/officeDocument/2006/relationships/hyperlink" Id="rId22"/>
    <Relationship TargetMode="External" Target="https://www.legis.iowa.gov/docs/ico/chapter/99B.11-16.pdf" Type="http://schemas.openxmlformats.org/officeDocument/2006/relationships/hyperlink" Id="rId23"/>
    <Relationship TargetMode="External" Target="https://www.legis.iowa.gov/docs/ico/chapter/99B.21-23.pdf" Type="http://schemas.openxmlformats.org/officeDocument/2006/relationships/hyperlink" Id="rId24"/>
    <Relationship TargetMode="External" Target="https://www.legis.iowa.gov/docs/ico/chapter/99B.32.pdf" Type="http://schemas.openxmlformats.org/officeDocument/2006/relationships/hyperlink" Id="rId25"/>
    <Relationship Target="media/document_image_rId26.gif" Type="http://schemas.openxmlformats.org/officeDocument/2006/relationships/image"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