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MISSION STATEMENT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department’s mission is to achieve compliance through education, regulation, and due process for a safe and healthy Iowa.</w:t>
      </w:r>
    </w:p>
    <w:p>
      <w:pPr>
        <w:spacing w:before="0" w:after="0"/>
        <w:ind w:left="120"/>
        <w:jc w:val="both"/>
      </w:pPr>
      <w:r>
        <w:rPr>
          <w:rFonts w:ascii="Times New Roman" w:hAnsi="Times New Roman"/>
          <w:b/>
          <w:i w:val="false"/>
          <w:color w:val="000000"/>
          <w:sz w:val="22"/>
        </w:rPr>
        <w:t>481—1.1</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Overview of the department. </w:t>
      </w:r>
      <w:r>
        <w:rPr>
          <w:rFonts w:ascii="Times New Roman" w:hAnsi="Times New Roman"/>
          <w:b w:val="false"/>
          <w:i w:val="false"/>
          <w:color w:val="000000"/>
          <w:sz w:val="22"/>
        </w:rPr>
        <w:t xml:space="preserve">The Iowa department of inspections and appeals is established by Iowa Code sections </w:t>
      </w:r>
      <w:hyperlink r:id="rId5">
        <w:r>
          <w:rPr>
            <w:rStyle w:val="Hyperlink"/>
            <w:rFonts w:ascii="Times New Roman" w:hAnsi="Times New Roman"/>
            <w:b w:val="false"/>
            <w:i w:val="false"/>
            <w:color w:val="000000"/>
            <w:sz w:val="22"/>
          </w:rPr>
          <w:t>10A.101 to 10A.802</w:t>
        </w:r>
      </w:hyperlink>
      <w:r>
        <w:rPr>
          <w:rFonts w:ascii="Times New Roman" w:hAnsi="Times New Roman"/>
          <w:b w:val="false"/>
          <w:i w:val="false"/>
          <w:color w:val="000000"/>
          <w:sz w:val="22"/>
        </w:rPr>
        <w:t>. The chief executive officer of the department is the director of the department of inspections and appeals, who shall be appointed by the governor to serve at the pleasure of the governor subject to confirmation by the senate no less frequently than every four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Appointment of deputy. </w:t>
      </w:r>
      <w:r>
        <w:rPr>
          <w:rFonts w:ascii="Times New Roman" w:hAnsi="Times New Roman"/>
          <w:b w:val="false"/>
          <w:i w:val="false"/>
          <w:color w:val="000000"/>
          <w:sz w:val="22"/>
        </w:rPr>
        <w:t>The director is assisted by a deputy director who is appointed by the director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department. </w:t>
      </w:r>
      <w:r>
        <w:rPr>
          <w:rFonts w:ascii="Times New Roman" w:hAnsi="Times New Roman"/>
          <w:b w:val="false"/>
          <w:i w:val="false"/>
          <w:color w:val="000000"/>
          <w:sz w:val="22"/>
        </w:rPr>
        <w:t>The department is organized into divisions which are further divided into bureaus and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Director’s duties. </w:t>
      </w:r>
      <w:r>
        <w:rPr>
          <w:rFonts w:ascii="Times New Roman" w:hAnsi="Times New Roman"/>
          <w:b w:val="false"/>
          <w:i w:val="false"/>
          <w:color w:val="000000"/>
          <w:sz w:val="22"/>
        </w:rPr>
        <w:t>The director has general supervision over the administration and operation of all divisions. The director also develops statewide programs in compliance with the goals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color w:val="000000"/>
          <w:sz w:val="22"/>
        </w:rPr>
        <w:t xml:space="preserve">Deputy director’s duties. </w:t>
      </w:r>
      <w:r>
        <w:rPr>
          <w:rFonts w:ascii="Times New Roman" w:hAnsi="Times New Roman"/>
          <w:b w:val="false"/>
          <w:i w:val="false"/>
          <w:color w:val="000000"/>
          <w:sz w:val="22"/>
        </w:rPr>
        <w:t>The deputy director serves as the principal deputy to the director. The deputy director represents the director in various capacities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color w:val="000000"/>
          <w:sz w:val="22"/>
        </w:rPr>
        <w:t xml:space="preserve">Issuance of subpoenas. </w:t>
      </w:r>
      <w:r>
        <w:rPr>
          <w:rFonts w:ascii="Times New Roman" w:hAnsi="Times New Roman"/>
          <w:b w:val="false"/>
          <w:i w:val="false"/>
          <w:color w:val="000000"/>
          <w:sz w:val="22"/>
        </w:rPr>
        <w:t xml:space="preserve">The director, or designee of the director, shall have the authority to issue subpoenas in accordance with the provisions of Iowa Code sections </w:t>
      </w:r>
      <w:hyperlink r:id="rId6">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In connection with audits, appeals, investigations, inspections, hearings, and any other permissible matters conducted by the department, the director, or designee of the director, may, upon the written request of a department employee or on the director’s own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subpoena duces tecum for the production and delivery of books, papers, records and other real evidence;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subpoenas for the appearance of persons to provide statements, statements under oath and depositions.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subpoenas. </w:t>
      </w:r>
      <w:r>
        <w:rPr>
          <w:rFonts w:ascii="Times New Roman" w:hAnsi="Times New Roman"/>
          <w:b w:val="false"/>
          <w:i w:val="false"/>
          <w:color w:val="000000"/>
          <w:sz w:val="22"/>
        </w:rPr>
        <w:t>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appearance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inspections, or copying of the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and address of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department employee who can be contacted for purposes of providing clarification or assistance in compliance with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w:t>
      </w:r>
      <w:r>
        <w:rPr>
          <w:rFonts w:ascii="Times New Roman" w:hAnsi="Times New Roman"/>
          <w:b w:val="false"/>
          <w:i w:val="false"/>
          <w:color w:val="000000"/>
          <w:sz w:val="22"/>
        </w:rPr>
        <w:t> </w:t>
      </w:r>
      <w:r>
        <w:rPr>
          <w:rFonts w:ascii="Times New Roman" w:hAnsi="Times New Roman"/>
          <w:b w:val="false"/>
          <w:i/>
          <w:color w:val="000000"/>
          <w:sz w:val="22"/>
        </w:rPr>
        <w:t xml:space="preserve">Motions to quash or modify subpoena. </w:t>
      </w:r>
      <w:r>
        <w:rPr>
          <w:rFonts w:ascii="Times New Roman" w:hAnsi="Times New Roman"/>
          <w:b w:val="false"/>
          <w:i w:val="false"/>
          <w:color w:val="000000"/>
          <w:sz w:val="22"/>
        </w:rPr>
        <w:t>A person who desires to challenge a subpoena directed to that person must, within ten days after service of the subpoena, or before the time specified for compliance, if such time is less than ten days, file with the director a motion to quash or modify the subpoena. Upon receipt of a timely motion to quash or modify a subpoena, the director or the director’s designee may issue a decision or request an administrative law judge to issue a decision. Oral argument may be scheduled and conducted at the discretion of the director or the director’s designee or the administrative law judge. The director or the director’s designee or the administrative law judge may quash or modify the subpoena, deny the motion, or issue other appropriate orders. A person aggrieved by a ruling of an administrative law judge and who desires to challenge that ruling must appeal the ruling to the director by serving the director, either in person or by certified mail, a notice of appeal within ten days after service of the decision of the administrative law judge. The director’s or the director’s designee’s decision is final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subpoena. </w:t>
      </w:r>
      <w:r>
        <w:rPr>
          <w:rFonts w:ascii="Times New Roman" w:hAnsi="Times New Roman"/>
          <w:b w:val="false"/>
          <w:i w:val="false"/>
          <w:color w:val="000000"/>
          <w:sz w:val="22"/>
        </w:rPr>
        <w:t>If the person to whom the subpoena is directed refuses or fails to obey the subpoena, the director, or the director’s designee, may cause a petition to be filed in the Iowa district court seeking an order for the person’s compliance. Failure to obey orders of that court shall render the person in contempt of the court and subject to penalties provided for that offense.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8">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are incorporated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481—1.3</w:t>
      </w:r>
      <w:r>
        <w:rPr>
          <w:rFonts w:ascii="Times New Roman" w:hAnsi="Times New Roman"/>
          <w:b/>
          <w:i w:val="false"/>
          <w:color w:val="000000"/>
          <w:sz w:val="22"/>
        </w:rPr>
        <w:t xml:space="preserve">(10A) </w:t>
      </w:r>
      <w:r>
        <w:rPr>
          <w:rFonts w:ascii="Times New Roman" w:hAnsi="Times New Roman"/>
          <w:b/>
          <w:i w:val="false"/>
          <w:color w:val="000000"/>
          <w:sz w:val="22"/>
        </w:rPr>
        <w:t xml:space="preserve">Administration division. </w:t>
      </w:r>
      <w:r>
        <w:rPr>
          <w:rFonts w:ascii="Times New Roman" w:hAnsi="Times New Roman"/>
          <w:b w:val="false"/>
          <w:i w:val="false"/>
          <w:color w:val="000000"/>
          <w:sz w:val="22"/>
        </w:rPr>
        <w:t>This division provides administrative support to the department, including fiscal, policy and planning, information technology, and public information. This division negotiates and provides oversight for compacts entered into between the state of Iowa and Indian tribes located in the state. The division also inspects and licenses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Social and charitable gambling pursuant to Iowa Code chapter </w:t>
      </w:r>
      <w:hyperlink r:id="rId9">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Food establishments, including but not limited to restaurants, vending machines, mobile food units, food processing plants, and home food processing plants;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Hotels.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3768C</w:t>
      </w:r>
      <w:r>
        <w:rPr>
          <w:rFonts w:ascii="Times New Roman" w:hAnsi="Times New Roman"/>
          <w:b w:val="false"/>
          <w:i w:val="false"/>
          <w:color w:val="000000"/>
          <w:sz w:val="16"/>
        </w:rPr>
        <w:t>, IAB 4/25/18, effective 5/30/18</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481—1.4</w:t>
      </w:r>
      <w:r>
        <w:rPr>
          <w:rFonts w:ascii="Times New Roman" w:hAnsi="Times New Roman"/>
          <w:b/>
          <w:i w:val="false"/>
          <w:color w:val="000000"/>
          <w:sz w:val="22"/>
        </w:rPr>
        <w:t xml:space="preserve">(10A) </w:t>
      </w:r>
      <w:r>
        <w:rPr>
          <w:rFonts w:ascii="Times New Roman" w:hAnsi="Times New Roman"/>
          <w:b/>
          <w:i w:val="false"/>
          <w:color w:val="000000"/>
          <w:sz w:val="22"/>
        </w:rPr>
        <w:t xml:space="preserve">Investigations division. </w:t>
      </w:r>
      <w:r>
        <w:rPr>
          <w:rFonts w:ascii="Times New Roman" w:hAnsi="Times New Roman"/>
          <w:b w:val="false"/>
          <w:i w:val="false"/>
          <w:color w:val="000000"/>
          <w:sz w:val="22"/>
        </w:rPr>
        <w:t>The investigations division of the department conducts criminal, civil, and administrative investigations of fraud and misconduct. The division also conducts audits of health care facilities. Staff within the division work closely with federal, state, and local partners in identifying fraud, waste, and abuse and, where appropriate, presenting cases for criminal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Units of the division. </w:t>
      </w:r>
      <w:r>
        <w:rPr>
          <w:rFonts w:ascii="Times New Roman" w:hAnsi="Times New Roman"/>
          <w:b w:val="false"/>
          <w:i w:val="false"/>
          <w:color w:val="000000"/>
          <w:sz w:val="22"/>
        </w:rPr>
        <w:t>The division is comprised of the following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 unit. </w:t>
      </w:r>
      <w:r>
        <w:rPr>
          <w:rFonts w:ascii="Times New Roman" w:hAnsi="Times New Roman"/>
          <w:b w:val="false"/>
          <w:i w:val="false"/>
          <w:color w:val="000000"/>
          <w:sz w:val="22"/>
        </w:rPr>
        <w:t xml:space="preserve">The audit unit audits health and human services health care facilities to review and verify facility resident billing and personal allowance accounts and to determine whether state billings accurately reflect the health care facility census. The unit audits local department of human services offices to review and verify whether administrative expense claims and official receipts are in accordance with the criteria set forth in 2 CFR Part 200 and state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Economic fraud control bureau (EFCB). </w:t>
      </w:r>
      <w:r>
        <w:rPr>
          <w:rFonts w:ascii="Times New Roman" w:hAnsi="Times New Roman"/>
          <w:b w:val="false"/>
          <w:i w:val="false"/>
          <w:color w:val="000000"/>
          <w:sz w:val="22"/>
        </w:rPr>
        <w:t>The economic fraud control bureau investigates recipient public assistance fraud and supplemental nutrition assistance program (SNAP) trafficking. Division staff investigate suspected fraud and assist the department of human services to determine eligibility for public assistance. Division staff may conduct investigations relative to the administration of any other state or federal benefit assistance program. Division staff may also conduct investigations relative to the internal affairs and operations of agencies and departments within the executive branch of state government, except for institutions governed by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Medicaid fraud control unit (MFCU). </w:t>
      </w:r>
      <w:r>
        <w:rPr>
          <w:rFonts w:ascii="Times New Roman" w:hAnsi="Times New Roman"/>
          <w:b w:val="false"/>
          <w:i w:val="false"/>
          <w:color w:val="000000"/>
          <w:sz w:val="22"/>
        </w:rPr>
        <w:t>The Medicaid fraud control unit investigates allegations of fraud committed by providers against the Medicaid program as well as fraud in the administration of the Medicaid program. MFCU also investigates abuse, neglect or other crimes committed upon residents in care facilities or related programs that receive funding from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debt recovery unit (PADRU). </w:t>
      </w:r>
      <w:r>
        <w:rPr>
          <w:rFonts w:ascii="Times New Roman" w:hAnsi="Times New Roman"/>
          <w:b w:val="false"/>
          <w:i w:val="false"/>
          <w:color w:val="000000"/>
          <w:sz w:val="22"/>
        </w:rPr>
        <w:t>The public assistance debt recovery unit investigates and initiates collections of overpayment debts owed to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Peace officer status.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10A.403</w:t>
        </w:r>
      </w:hyperlink>
      <w:r>
        <w:rPr>
          <w:rFonts w:ascii="Times New Roman" w:hAnsi="Times New Roman"/>
          <w:b w:val="false"/>
          <w:i w:val="false"/>
          <w:color w:val="000000"/>
          <w:sz w:val="22"/>
        </w:rPr>
        <w:t xml:space="preserve">, investigators assigned to the division shall have the powers and authority of peace officers when acting within the scope of their responsibilities to conduct investigations as specified in Iowa Code section </w:t>
      </w:r>
      <w:hyperlink r:id="rId11">
        <w:r>
          <w:rPr>
            <w:rStyle w:val="Hyperlink"/>
            <w:rFonts w:ascii="Times New Roman" w:hAnsi="Times New Roman"/>
            <w:b w:val="false"/>
            <w:i w:val="false"/>
            <w:color w:val="000000"/>
            <w:sz w:val="22"/>
          </w:rPr>
          <w:t>10A.402(5)</w:t>
        </w:r>
      </w:hyperlink>
      <w:r>
        <w:rPr>
          <w:rFonts w:ascii="Times New Roman" w:hAnsi="Times New Roman"/>
          <w:b w:val="false"/>
          <w:i w:val="false"/>
          <w:color w:val="000000"/>
          <w:sz w:val="22"/>
        </w:rPr>
        <w:t>. An investigator shall not carry a weapon to perform responsibilities as described in this subrule.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10A.401 to 10A.403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3769C</w:t>
      </w:r>
      <w:r>
        <w:rPr>
          <w:rFonts w:ascii="Times New Roman" w:hAnsi="Times New Roman"/>
          <w:b w:val="false"/>
          <w:i w:val="false"/>
          <w:color w:val="000000"/>
          <w:sz w:val="16"/>
        </w:rPr>
        <w:t>, IAB 4/25/18, effective 5/30/18</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w:t>
      </w:r>
      <w:r>
        <w:rPr>
          <w:rFonts w:ascii="Times New Roman" w:hAnsi="Times New Roman"/>
          <w:b/>
          <w:i w:val="false"/>
          <w:color w:val="000000"/>
          <w:sz w:val="22"/>
        </w:rPr>
        <w:t xml:space="preserve">(10A) </w:t>
      </w:r>
      <w:r>
        <w:rPr>
          <w:rFonts w:ascii="Times New Roman" w:hAnsi="Times New Roman"/>
          <w:b/>
          <w:i w:val="false"/>
          <w:color w:val="000000"/>
          <w:sz w:val="22"/>
        </w:rPr>
        <w:t xml:space="preserve">Health facilities division. </w:t>
      </w:r>
      <w:r>
        <w:rPr>
          <w:rFonts w:ascii="Times New Roman" w:hAnsi="Times New Roman"/>
          <w:b w:val="false"/>
          <w:i w:val="false"/>
          <w:color w:val="000000"/>
          <w:sz w:val="22"/>
        </w:rPr>
        <w:t>This division conducts inspections and investigations,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Investigations relative to the standards and practices of hospitals, hospice programs, and health care facilities.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Inspections and other licensing procedures relative to hospice programs, hospitals, and health care facilities. The division shall be the sole designated licensing authority for these programs and facilities.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Inspections relative to hospital and health care facility construction projects.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Inspections of child foster care facilities and private institutions for the care of dependent, neglected, and delinquent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Inspections and certification of elder group homes, assisted living programs, and adult day services programs.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Registration of boarding homes.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Investigation of dependent adult abuse in facilities and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w:t>
      </w:r>
      <w:r>
        <w:rPr>
          <w:rFonts w:ascii="Times New Roman" w:hAnsi="Times New Roman"/>
          <w:b/>
          <w:i w:val="false"/>
          <w:color w:val="000000"/>
          <w:sz w:val="22"/>
        </w:rPr>
        <w:t xml:space="preserve">(10A) </w:t>
      </w:r>
      <w:r>
        <w:rPr>
          <w:rFonts w:ascii="Times New Roman" w:hAnsi="Times New Roman"/>
          <w:b/>
          <w:i w:val="false"/>
          <w:color w:val="000000"/>
          <w:sz w:val="22"/>
        </w:rPr>
        <w:t xml:space="preserve">Administrative hearings division. </w:t>
      </w:r>
      <w:r>
        <w:rPr>
          <w:rFonts w:ascii="Times New Roman" w:hAnsi="Times New Roman"/>
          <w:b w:val="false"/>
          <w:i w:val="false"/>
          <w:color w:val="000000"/>
          <w:sz w:val="22"/>
        </w:rPr>
        <w:t>The division conducts contested case hearings for state agencies, departments, boards, and commissions. In addition, the division conducts contested case hearings for some counties and municipalities.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 xml:space="preserve">All hearings are governed by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other applicable statutes, including the transmitting agency’s enabling statute and the statute authorizing the action taken, applicable agency rules, and the department’s administrative rules found at </w:t>
      </w:r>
      <w:hyperlink r:id="rId14">
        <w:r>
          <w:rPr>
            <w:rStyle w:val="Hyperlink"/>
            <w:rFonts w:ascii="Times New Roman" w:hAnsi="Times New Roman"/>
            <w:b w:val="false"/>
            <w:i w:val="false"/>
            <w:color w:val="000000"/>
            <w:sz w:val="22"/>
          </w:rPr>
          <w:t>481—Chapters 9 to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coordinate the division’s conduct of all hearings.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481—1.7</w:t>
      </w:r>
      <w:r>
        <w:rPr>
          <w:rFonts w:ascii="Times New Roman" w:hAnsi="Times New Roman"/>
          <w:b/>
          <w:i w:val="false"/>
          <w:color w:val="000000"/>
          <w:sz w:val="22"/>
        </w:rPr>
        <w:t xml:space="preserve">(10A) </w:t>
      </w:r>
      <w:r>
        <w:rPr>
          <w:rFonts w:ascii="Times New Roman" w:hAnsi="Times New Roman"/>
          <w:b/>
          <w:i w:val="false"/>
          <w:color w:val="000000"/>
          <w:sz w:val="22"/>
        </w:rPr>
        <w:t xml:space="preserve">Administering discretion. </w:t>
      </w:r>
      <w:r>
        <w:rPr>
          <w:rFonts w:ascii="Times New Roman" w:hAnsi="Times New Roman"/>
          <w:b w:val="false"/>
          <w:i w:val="false"/>
          <w:color w:val="000000"/>
          <w:sz w:val="22"/>
        </w:rPr>
        <w:t>Nothing in the aforesaid allocation of duties shall be interpreted to prevent flexibility in interdepartmental operations or to forbid other divisional allocations of duties in the discretion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481—1.8</w:t>
      </w:r>
      <w:r>
        <w:rPr>
          <w:rFonts w:ascii="Times New Roman" w:hAnsi="Times New Roman"/>
          <w:b/>
          <w:i w:val="false"/>
          <w:color w:val="000000"/>
          <w:sz w:val="22"/>
        </w:rPr>
        <w:t xml:space="preserve">(10A) </w:t>
      </w:r>
      <w:r>
        <w:rPr>
          <w:rFonts w:ascii="Times New Roman" w:hAnsi="Times New Roman"/>
          <w:b/>
          <w:i w:val="false"/>
          <w:color w:val="000000"/>
          <w:sz w:val="22"/>
        </w:rPr>
        <w:t xml:space="preserve">Employment appeal board. </w:t>
      </w:r>
      <w:r>
        <w:rPr>
          <w:rFonts w:ascii="Times New Roman" w:hAnsi="Times New Roman"/>
          <w:b w:val="false"/>
          <w:i w:val="false"/>
          <w:color w:val="000000"/>
          <w:sz w:val="22"/>
        </w:rPr>
        <w:t xml:space="preserve">The employment appeal board consists of three members appointed by the governor, subject to confirmation by the senate, to staggered six-year terms. One member shall be qualified by experience and affiliation to represent employers, one member shall be qualified by experience and affiliation to represent employees, and one member shall represent the general public. This board hears and decides contested cases under Iowa Code chapters </w:t>
      </w:r>
      <w:hyperlink r:id="rId15">
        <w:r>
          <w:rPr>
            <w:rStyle w:val="Hyperlink"/>
            <w:rFonts w:ascii="Times New Roman" w:hAnsi="Times New Roman"/>
            <w:b w:val="false"/>
            <w:i w:val="false"/>
            <w:color w:val="000000"/>
            <w:sz w:val="22"/>
          </w:rPr>
          <w:t>8A, subchapter IV</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in accordance with administrative rules promulgated by the employment appeal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481—1.9</w:t>
      </w:r>
      <w:r>
        <w:rPr>
          <w:rFonts w:ascii="Times New Roman" w:hAnsi="Times New Roman"/>
          <w:b/>
          <w:i w:val="false"/>
          <w:color w:val="000000"/>
          <w:sz w:val="22"/>
        </w:rPr>
        <w:t xml:space="preserve">(10A,237) </w:t>
      </w:r>
      <w:r>
        <w:rPr>
          <w:rFonts w:ascii="Times New Roman" w:hAnsi="Times New Roman"/>
          <w:b/>
          <w:i w:val="false"/>
          <w:color w:val="000000"/>
          <w:sz w:val="22"/>
        </w:rPr>
        <w:t xml:space="preserve">Child advocacy board. </w:t>
      </w:r>
      <w:r>
        <w:rPr>
          <w:rFonts w:ascii="Times New Roman" w:hAnsi="Times New Roman"/>
          <w:b w:val="false"/>
          <w:i w:val="false"/>
          <w:color w:val="000000"/>
          <w:sz w:val="22"/>
        </w:rPr>
        <w:t xml:space="preserve">The child advocacy board consists of nine members appointed by the governor, subject to confirmation by the senate. This board administers foster care review and the court appointed special advocate programs, as defined in Iowa Code section </w:t>
      </w:r>
      <w:hyperlink r:id="rId21">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in accordance with administrative rules promulgated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481—1.10</w:t>
      </w:r>
      <w:r>
        <w:rPr>
          <w:rFonts w:ascii="Times New Roman" w:hAnsi="Times New Roman"/>
          <w:b/>
          <w:i w:val="false"/>
          <w:color w:val="000000"/>
          <w:sz w:val="22"/>
        </w:rPr>
        <w:t xml:space="preserve">(10A,13B) </w:t>
      </w:r>
      <w:r>
        <w:rPr>
          <w:rFonts w:ascii="Times New Roman" w:hAnsi="Times New Roman"/>
          <w:b/>
          <w:i w:val="false"/>
          <w:color w:val="000000"/>
          <w:sz w:val="22"/>
        </w:rPr>
        <w:t xml:space="preserve">State public defender. </w:t>
      </w:r>
      <w:r>
        <w:rPr>
          <w:rFonts w:ascii="Times New Roman" w:hAnsi="Times New Roman"/>
          <w:b w:val="false"/>
          <w:i w:val="false"/>
          <w:color w:val="000000"/>
          <w:sz w:val="22"/>
        </w:rPr>
        <w:t xml:space="preserve">The governor shall appoint the state public defender, who shall serve at the pleasure of the governor, subject to confirmation by the senate. The state public defender shall coordinate the provision of legal representation of all indigents under arrest or charged with a crime, seeking postconviction relief, against whom a contempt action is pending, in proceedings under Iowa Code section </w:t>
      </w:r>
      <w:hyperlink r:id="rId22">
        <w:r>
          <w:rPr>
            <w:rStyle w:val="Hyperlink"/>
            <w:rFonts w:ascii="Times New Roman" w:hAnsi="Times New Roman"/>
            <w:b w:val="false"/>
            <w:i w:val="false"/>
            <w:color w:val="000000"/>
            <w:sz w:val="22"/>
          </w:rPr>
          <w:t>811.1A</w:t>
        </w:r>
      </w:hyperlink>
      <w:r>
        <w:rPr>
          <w:rFonts w:ascii="Times New Roman" w:hAnsi="Times New Roman"/>
          <w:b w:val="false"/>
          <w:i w:val="false"/>
          <w:color w:val="000000"/>
          <w:sz w:val="22"/>
        </w:rPr>
        <w:t xml:space="preserve"> or Iowa Code chapter </w:t>
      </w:r>
      <w:hyperlink r:id="rId23">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812</w:t>
        </w:r>
      </w:hyperlink>
      <w:r>
        <w:rPr>
          <w:rFonts w:ascii="Times New Roman" w:hAnsi="Times New Roman"/>
          <w:b w:val="false"/>
          <w:i w:val="false"/>
          <w:color w:val="000000"/>
          <w:sz w:val="22"/>
        </w:rPr>
        <w:t xml:space="preserve">, in juvenile proceedings, on appeal in criminal cases, and on appeal in proceedings to obtain postconviction relief when ordered to do so by the district court in which the judgment or order was issued, and may provide for the representation of indigents in proceedings instituted pursuant to Iowa Code chapter </w:t>
      </w:r>
      <w:hyperlink r:id="rId25">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481—1.11</w:t>
      </w:r>
      <w:r>
        <w:rPr>
          <w:rFonts w:ascii="Times New Roman" w:hAnsi="Times New Roman"/>
          <w:b/>
          <w:i w:val="false"/>
          <w:color w:val="000000"/>
          <w:sz w:val="22"/>
        </w:rPr>
        <w:t xml:space="preserve">(10A,99D,99F) </w:t>
      </w:r>
      <w:r>
        <w:rPr>
          <w:rFonts w:ascii="Times New Roman" w:hAnsi="Times New Roman"/>
          <w:b/>
          <w:i w:val="false"/>
          <w:color w:val="000000"/>
          <w:sz w:val="22"/>
        </w:rPr>
        <w:t xml:space="preserve">Racing and gaming commission. </w:t>
      </w:r>
      <w:r>
        <w:rPr>
          <w:rFonts w:ascii="Times New Roman" w:hAnsi="Times New Roman"/>
          <w:b w:val="false"/>
          <w:i w:val="false"/>
          <w:color w:val="000000"/>
          <w:sz w:val="22"/>
        </w:rPr>
        <w:t>The Iowa racing and gaming commission regulates pari-mutuel horse racing, simulcasting, gambling structures, excursion gambling boats, racetrack enclosures, sports wagering, and fantasy sports contests in Iowa. The commission, whose five members are appointed by the governor, administers the laws and rules associated with these industries to maintain confidence in the industries and to ensure the integrity of licensed participants and operations for the state and the wagering public. In performing its duties, the commission investigates the eligibility of applicants for licensure. The commission adopts standards for the licensing of racing industry occupations, as well as standards for the operation of all race meetings and facilities. The commission also adopts standards for the operation and licensing of pari-mutuel and simulcast wagering, gambling structures, excursion gambling boats, racetrack enclosures, sports wagering, and fantasy sports contests.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8431B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481—1.12</w:t>
      </w:r>
      <w:r>
        <w:rPr>
          <w:rFonts w:ascii="Times New Roman" w:hAnsi="Times New Roman"/>
          <w:b/>
          <w:i w:val="false"/>
          <w:color w:val="000000"/>
          <w:sz w:val="22"/>
        </w:rPr>
        <w:t xml:space="preserve">(10A,68B) </w:t>
      </w:r>
      <w:r>
        <w:rPr>
          <w:rFonts w:ascii="Times New Roman" w:hAnsi="Times New Roman"/>
          <w:b/>
          <w:i w:val="false"/>
          <w:color w:val="000000"/>
          <w:sz w:val="22"/>
        </w:rPr>
        <w:t xml:space="preserve">Consent for the sale of goods and services. </w:t>
      </w:r>
      <w:r>
        <w:rPr>
          <w:rFonts w:ascii="Times New Roman" w:hAnsi="Times New Roman"/>
          <w:b w:val="false"/>
          <w:i w:val="false"/>
          <w:color w:val="000000"/>
          <w:sz w:val="22"/>
        </w:rPr>
        <w:t xml:space="preserve">An official or employee of the department shall not directly or indirectly sell or lease any goods, real estate, or services to individuals, associations, or corporations subject to the regulatory authority of the official’s or employee’s agency except as provided by Iowa Code section </w:t>
      </w:r>
      <w:hyperlink r:id="rId2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w:t>
      </w:r>
      <w:hyperlink r:id="rId31">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without Notice 3/26/87—published 4/22/87, effective 5/27/87]</w:t>
      </w:r>
    </w:p>
    <w:p>
      <w:pPr>
        <w:spacing w:before="0" w:after="0"/>
        <w:ind w:left="120"/>
        <w:jc w:val="center"/>
      </w:pPr>
      <w:r>
        <w:rPr>
          <w:rFonts w:ascii="Times New Roman" w:hAnsi="Times New Roman"/>
          <w:b w:val="false"/>
          <w:i w:val="false"/>
          <w:color w:val="000000"/>
          <w:sz w:val="21"/>
        </w:rPr>
        <w:t>[Filed 9/18/87, Notice 7/15/87—published 10/7/87, effective 11/11/87]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9/1/00, Notice 7/26/00—published 9/20/00, effective 10/25/00]</w:t>
      </w:r>
    </w:p>
    <w:p>
      <w:pPr>
        <w:spacing w:before="0" w:after="0"/>
        <w:ind w:left="120"/>
        <w:jc w:val="center"/>
      </w:pPr>
      <w:r>
        <w:rPr>
          <w:rFonts w:ascii="Times New Roman" w:hAnsi="Times New Roman"/>
          <w:b w:val="false"/>
          <w:i w:val="false"/>
          <w:color w:val="000000"/>
          <w:sz w:val="21"/>
        </w:rPr>
        <w:t>[Filed 4/26/02, Notice 3/20/02—published 5/15/02, effective 6/19/02]</w:t>
      </w:r>
    </w:p>
    <w:p>
      <w:pPr>
        <w:spacing w:before="0" w:after="0"/>
        <w:ind w:left="120"/>
        <w:jc w:val="center"/>
      </w:pPr>
      <w:r>
        <w:rPr>
          <w:rFonts w:ascii="Times New Roman" w:hAnsi="Times New Roman"/>
          <w:b w:val="false"/>
          <w:i w:val="false"/>
          <w:color w:val="000000"/>
          <w:sz w:val="21"/>
        </w:rPr>
        <w:t>[Filed ARC 8431B</w:t>
      </w:r>
      <w:r>
        <w:rPr>
          <w:rFonts w:ascii="Times New Roman" w:hAnsi="Times New Roman"/>
          <w:b w:val="false"/>
          <w:i w:val="false"/>
          <w:color w:val="000000"/>
          <w:sz w:val="21"/>
        </w:rPr>
        <w:t xml:space="preserve"> (Notice ARC 8242B, IAB 10/21/09)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3768C</w:t>
      </w:r>
      <w:r>
        <w:rPr>
          <w:rFonts w:ascii="Times New Roman" w:hAnsi="Times New Roman"/>
          <w:b w:val="false"/>
          <w:i w:val="false"/>
          <w:color w:val="000000"/>
          <w:sz w:val="21"/>
        </w:rPr>
        <w:t xml:space="preserve"> (Notice ARC 3650C, IAB 2/28/18)</w:t>
      </w:r>
      <w:r>
        <w:rPr>
          <w:rFonts w:ascii="Times New Roman" w:hAnsi="Times New Roman"/>
          <w:b w:val="false"/>
          <w:i w:val="false"/>
          <w:color w:val="000000"/>
          <w:sz w:val="21"/>
        </w:rPr>
        <w:t>, IAB 4/25/18, effective 5/30/18]</w:t>
      </w:r>
      <w:r>
        <w:br/>
      </w:r>
      <w:r>
        <w:rPr>
          <w:rFonts w:ascii="Times New Roman" w:hAnsi="Times New Roman"/>
          <w:b w:val="false"/>
          <w:i w:val="false"/>
          <w:color w:val="000000"/>
          <w:sz w:val="21"/>
        </w:rPr>
        <w:t>[Filed ARC 3769C</w:t>
      </w:r>
      <w:r>
        <w:rPr>
          <w:rFonts w:ascii="Times New Roman" w:hAnsi="Times New Roman"/>
          <w:b w:val="false"/>
          <w:i w:val="false"/>
          <w:color w:val="000000"/>
          <w:sz w:val="21"/>
        </w:rPr>
        <w:t xml:space="preserve"> (Notice ARC 3649C,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1-802.pdf" Type="http://schemas.openxmlformats.org/officeDocument/2006/relationships/hyperlink" Id="rId5"/>
    <Relationship TargetMode="External" Target="https://www.legis.iowa.gov/docs/ico/chapter/10A.104.pdf" Type="http://schemas.openxmlformats.org/officeDocument/2006/relationships/hyperlink" Id="rId6"/>
    <Relationship TargetMode="External" Target="https://www.legis.iowa.gov/docs/ico/chapter/17A.13.pdf" Type="http://schemas.openxmlformats.org/officeDocument/2006/relationships/hyperlink" Id="rId7"/>
    <Relationship TargetMode="External" Target="https://www.legis.iowa.gov/docs/ico/chapter/10A.101.pdf" Type="http://schemas.openxmlformats.org/officeDocument/2006/relationships/hyperlink" Id="rId8"/>
    <Relationship TargetMode="External" Target="https://www.legis.iowa.gov/docs/ico/chapter/99B.pdf" Type="http://schemas.openxmlformats.org/officeDocument/2006/relationships/hyperlink" Id="rId9"/>
    <Relationship TargetMode="External" Target="https://www.legis.iowa.gov/docs/ico/chapter/10A.403.pdf" Type="http://schemas.openxmlformats.org/officeDocument/2006/relationships/hyperlink" Id="rId10"/>
    <Relationship TargetMode="External" Target="https://www.legis.iowa.gov/docs/ico/chapter/10A.402.pdf" Type="http://schemas.openxmlformats.org/officeDocument/2006/relationships/hyperlink" Id="rId11"/>
    <Relationship TargetMode="External" Target="https://www.legis.iowa.gov/docs/ico/chapter/10A.401-403.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chapter/481.9-11.pdf" Type="http://schemas.openxmlformats.org/officeDocument/2006/relationships/hyperlink" Id="rId14"/>
    <Relationship TargetMode="External" Target="https://www.legis.iowa.gov/docs/ico/chapter/8A.pdf" Type="http://schemas.openxmlformats.org/officeDocument/2006/relationships/hyperlink" Id="rId15"/>
    <Relationship TargetMode="External" Target="https://www.legis.iowa.gov/docs/ico/chapter/80.pdf" Type="http://schemas.openxmlformats.org/officeDocument/2006/relationships/hyperlink" Id="rId16"/>
    <Relationship TargetMode="External" Target="https://www.legis.iowa.gov/docs/ico/chapter/88.pdf" Type="http://schemas.openxmlformats.org/officeDocument/2006/relationships/hyperlink" Id="rId17"/>
    <Relationship TargetMode="External" Target="https://www.legis.iowa.gov/docs/ico/chapter/91C.pdf" Type="http://schemas.openxmlformats.org/officeDocument/2006/relationships/hyperlink" Id="rId18"/>
    <Relationship TargetMode="External" Target="https://www.legis.iowa.gov/docs/ico/chapter/96.pdf" Type="http://schemas.openxmlformats.org/officeDocument/2006/relationships/hyperlink" Id="rId19"/>
    <Relationship TargetMode="External" Target="https://www.legis.iowa.gov/docs/ico/chapter/97B.pdf" Type="http://schemas.openxmlformats.org/officeDocument/2006/relationships/hyperlink" Id="rId20"/>
    <Relationship TargetMode="External" Target="https://www.legis.iowa.gov/docs/ico/chapter/237.18.pdf" Type="http://schemas.openxmlformats.org/officeDocument/2006/relationships/hyperlink" Id="rId21"/>
    <Relationship TargetMode="External" Target="https://www.legis.iowa.gov/docs/ico/chapter/811.1A.pdf" Type="http://schemas.openxmlformats.org/officeDocument/2006/relationships/hyperlink" Id="rId22"/>
    <Relationship TargetMode="External" Target="https://www.legis.iowa.gov/docs/ico/chapter/229A.pdf" Type="http://schemas.openxmlformats.org/officeDocument/2006/relationships/hyperlink" Id="rId23"/>
    <Relationship TargetMode="External" Target="https://www.legis.iowa.gov/docs/ico/chapter/812.pdf" Type="http://schemas.openxmlformats.org/officeDocument/2006/relationships/hyperlink" Id="rId24"/>
    <Relationship TargetMode="External" Target="https://www.legis.iowa.gov/docs/ico/chapter/908.pdf" Type="http://schemas.openxmlformats.org/officeDocument/2006/relationships/hyperlink" Id="rId25"/>
    <Relationship TargetMode="External" Target="https://www.legis.iowa.gov/docs/ico/chapter/68B.4.pdf" Type="http://schemas.openxmlformats.org/officeDocument/2006/relationships/hyperlink" Id="rId26"/>
    <Relationship TargetMode="External" Target="https://www.legis.iowa.gov/docs/iac/rule/351.6.11.pdf" Type="http://schemas.openxmlformats.org/officeDocument/2006/relationships/hyperlink" Id="rId27"/>
    <Relationship TargetMode="External" Target="https://www.legis.iowa.gov/docs/ico/chapter/10A.pdf" Type="http://schemas.openxmlformats.org/officeDocument/2006/relationships/hyperlink" Id="rId28"/>
    <Relationship TargetMode="External" Target="https://www.legis.iowa.gov/docs/ico/chapter/13B.pdf" Type="http://schemas.openxmlformats.org/officeDocument/2006/relationships/hyperlink" Id="rId29"/>
    <Relationship TargetMode="External" Target="https://www.legis.iowa.gov/docs/ico/chapter/68B.pdf" Type="http://schemas.openxmlformats.org/officeDocument/2006/relationships/hyperlink" Id="rId30"/>
    <Relationship TargetMode="External" Target="https://www.legis.iowa.gov/docs/ico/chapter/99D.pdf" Type="http://schemas.openxmlformats.org/officeDocument/2006/relationships/hyperlink" Id="rId31"/>
    <Relationship TargetMode="External" Target="https://www.legis.iowa.gov/docs/ico/chapter/99F.pdf" Type="http://schemas.openxmlformats.org/officeDocument/2006/relationships/hyperlink" Id="rId32"/>
    <Relationship TargetMode="External" Target="https://www.legis.iowa.gov/docs/ico/chapter/237.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