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289—8.1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school corporation, government or governmental subdivision or agency, nonpublic school,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action by the director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6019C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289—8.2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i w:val="false"/>
          <w:color w:val="000000"/>
          <w:sz w:val="22"/>
        </w:rPr>
        <w:t>289—8.3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A waiver from a rule may be granted only if the committee has jurisdiction over the rule and the requested waiver is consistent with applicable statutes, constitutional provisions, or other provisions of law. Statutory duties or requirements created by statute may not be waived.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5">
        <w:r>
          <w:rPr>
            <w:rStyle w:val="Hyperlink"/>
            <w:rFonts w:ascii="Times New Roman" w:hAnsi="Times New Roman"/>
            <w:b w:val="false"/>
            <w:i w:val="false"/>
            <w:color w:val="000000"/>
            <w:sz w:val="22"/>
          </w:rPr>
          <w:t>289—4.6(17A,ExecOrd11)</w:t>
        </w:r>
      </w:hyperlink>
      <w:r>
        <w:rPr>
          <w:rFonts w:ascii="Times New Roman" w:hAnsi="Times New Roman"/>
          <w:b w:val="false"/>
          <w:i w:val="false"/>
          <w:color w:val="000000"/>
          <w:sz w:val="22"/>
        </w:rPr>
        <w:t>, the committee may, in the committee’s sole discretion, issue an order waiving in whole or in part the requirements of a rule if the committee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to the person at issue would result in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waiver from the requirements of the rule in the specific case would not have a negative impact on the student achievement of any person affected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All petitions for waiver must be submitted in writing to the School Budget Review Committee, Grimes State Office Building, 400 E. 14th Street, Des Moines, Iowa 50319-0146. If the petition relates to a pending contested case, the petition shall be filed in the contested case proceeding, using the caption of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five criteria described in rule </w:t>
      </w:r>
      <w:hyperlink r:id="rId6">
        <w:r>
          <w:rPr>
            <w:rStyle w:val="Hyperlink"/>
            <w:rFonts w:ascii="Times New Roman" w:hAnsi="Times New Roman"/>
            <w:b w:val="false"/>
            <w:i w:val="false"/>
            <w:color w:val="000000"/>
            <w:sz w:val="22"/>
          </w:rPr>
          <w:t>289—4.4(17A,ExecOrd11)</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the committee and the petitioner relating to the regulated activity, license, or grant affected by the proposed waiver, including a description of each affected item held by the requester, any notices of violation, contested case hearings, or investigative reports relating to the regulated activity, license, or grant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detailed statement of the impact on student achievement for any person affected by the granting of a waiver.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information known to the requester regarding the board’s or committee’s treatment of similar cases.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committee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6019C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289—8.7</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committee may request additional information from the petitioner relative to the petition and surrounding circumstances. If the petition was not filed in a contested case, the committee may, on its own motion or at the petitioner’s request, schedule a telephonic or in-person meeting between the petitioner and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289—8.8</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committee shall acknowledge a petition upon receipt. The committee shall ensure that notice of the pendency of the petition and a concise summary of its contents have been provided to all persons to whom notice is required by any provision of law within 30 days of the receipt of the petition. In addition, the committee may give notice to other persons. To accomplish this notice provision, the committee may require the petitioner to serve the notice on all persons to whom notice is required by any provision of law and provide a written statement to the committee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289—8.9</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(1) to any petition for a waiver filed within a contested case; (2) when provided by rule or order; or (3) when required to do so by statute.</w:t>
      </w:r>
    </w:p>
    <w:p>
      <w:pPr>
        <w:spacing w:before="0" w:after="0"/>
        <w:ind w:left="120"/>
        <w:jc w:val="both"/>
      </w:pPr>
      <w:r>
        <w:rPr>
          <w:rFonts w:ascii="Times New Roman" w:hAnsi="Times New Roman"/>
          <w:b/>
          <w:i w:val="false"/>
          <w:color w:val="000000"/>
          <w:sz w:val="22"/>
        </w:rPr>
        <w:t>289—8.10</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the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The final decision on whether the circumstances justify the granting of a waiver shall be made at the sole discretion of the committee, upon consideration of all relevant factors. Each petition for a waiver shall be evaluated by the committee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committee should exercise the committee’s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committee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committee may place any condition on a waiver that the committee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committee, a waiver may be renewed if the committee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committee shall grant or deny a petition for a waiver as soon as practicable but, in any event, shall do so within 120 days of its receipt, unless the petitioner agrees to a later date. However, if a petition is filed in a contested case, the committee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committee to grant or deny a petition within the required time period shall be deemed a denial of that petition by the committee. However, the committee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uniform rule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The committee may accordingly redact confidential information from petitions or orders prior to public inspection. Waiver information is available as described in rule </w:t>
      </w:r>
      <w:hyperlink r:id="rId10">
        <w:r>
          <w:rPr>
            <w:rStyle w:val="Hyperlink"/>
            <w:rFonts w:ascii="Times New Roman" w:hAnsi="Times New Roman"/>
            <w:b w:val="false"/>
            <w:i w:val="false"/>
            <w:color w:val="000000"/>
            <w:sz w:val="22"/>
          </w:rPr>
          <w:t>289—8.12</w:t>
        </w:r>
      </w:hyperlink>
      <w:r>
        <w:rPr>
          <w:rFonts w:ascii="Times New Roman" w:hAnsi="Times New Roman"/>
          <w:b w:val="false"/>
          <w:i w:val="false"/>
          <w:color w:val="000000"/>
          <w:sz w:val="22"/>
        </w:rPr>
        <w:t>(17A,ExecOrd11).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6019C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When the committee grants or denies a waiver, the committee shall submit the information required by this rule on the Internet site established pursuant to Iowa Code section </w:t>
      </w:r>
      <w:hyperlink r:id="rId11">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 xml:space="preserve"> within 60 days. The Internet site shall identify the rules for which a waiver has been granted or denied, the number of times a waiver was granted or denied for each rule, a citation to the statutory provisions implemented by these rules, and a general summary of the reasons justifying the committee’s actions on waiver requests. If practicable, the submission shall include information detailing the extent to which the granting of a waiver has established a precedent for additional waivers and has affected the general applicability of the rule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6019C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Cancellation. </w:t>
      </w:r>
      <w:r>
        <w:rPr>
          <w:rFonts w:ascii="Times New Roman" w:hAnsi="Times New Roman"/>
          <w:b w:val="false"/>
          <w:i w:val="false"/>
          <w:color w:val="000000"/>
          <w:sz w:val="22"/>
        </w:rPr>
        <w:t xml:space="preserve">A waiver issued pursuant to this chapter may be withdrawn, canceled or modified if, after appropriate notice and hearing, the committee issues an order finding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289—8.14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As a result,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i w:val="false"/>
          <w:color w:val="000000"/>
          <w:sz w:val="22"/>
        </w:rPr>
        <w:t>289—8.15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committee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289—8.16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committee’s decision to grant or deny a waiver petition may be taken in accordance with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9323B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ARC 9323B</w:t>
      </w:r>
      <w:r>
        <w:rPr>
          <w:rFonts w:ascii="Times New Roman" w:hAnsi="Times New Roman"/>
          <w:b w:val="false"/>
          <w:i w:val="false"/>
          <w:color w:val="000000"/>
          <w:sz w:val="21"/>
        </w:rPr>
        <w:t xml:space="preserve"> (Notice ARC 9126B,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6019C</w:t>
      </w:r>
      <w:r>
        <w:rPr>
          <w:rFonts w:ascii="Times New Roman" w:hAnsi="Times New Roman"/>
          <w:b w:val="false"/>
          <w:i w:val="false"/>
          <w:color w:val="000000"/>
          <w:sz w:val="21"/>
        </w:rPr>
        <w:t xml:space="preserve"> (Notice ARC 5772C, IAB 7/14/21)</w:t>
      </w:r>
      <w:r>
        <w:rPr>
          <w:rFonts w:ascii="Times New Roman" w:hAnsi="Times New Roman"/>
          <w:b w:val="false"/>
          <w:i w:val="false"/>
          <w:color w:val="000000"/>
          <w:sz w:val="21"/>
        </w:rPr>
        <w:t>, IAB 11/3/21, effective 12/8/21]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9.4.6.pdf" Type="http://schemas.openxmlformats.org/officeDocument/2006/relationships/hyperlink" Id="rId5"/>
    <Relationship TargetMode="External" Target="https://www.legis.iowa.gov/docs/iac/rule/289.4.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289.8.12.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9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