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DUTIES AND OPERATIONAL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289—6.1</w:t>
      </w:r>
      <w:r>
        <w:rPr>
          <w:rFonts w:ascii="Times New Roman" w:hAnsi="Times New Roman"/>
          <w:b/>
          <w:i w:val="false"/>
          <w:color w:val="000000"/>
          <w:sz w:val="22"/>
        </w:rPr>
        <w:t xml:space="preserve">(257)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“AEA” </w:t>
      </w:r>
      <w:r>
        <w:rPr>
          <w:rFonts w:ascii="Times New Roman" w:hAnsi="Times New Roman"/>
          <w:b w:val="false"/>
          <w:i w:val="false"/>
          <w:color w:val="000000"/>
          <w:sz w:val="22"/>
        </w:rPr>
        <w:t xml:space="preserve">means a regional service agency organized under Iowa Code chapter </w:t>
      </w:r>
      <w:hyperlink r:id="rId5">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that provides school improvement services for students, families, teachers, administrators, and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budget” </w:t>
      </w:r>
      <w:r>
        <w:rPr>
          <w:rFonts w:ascii="Times New Roman" w:hAnsi="Times New Roman"/>
          <w:b w:val="false"/>
          <w:i w:val="false"/>
          <w:color w:val="000000"/>
          <w:sz w:val="22"/>
        </w:rPr>
        <w:t>means the total dollars available as the expenditure limit for a school district for a specific fiscal year. This total is the combined district cost plus miscellaneous income actually received during the fiscal year, plus the unspent balance of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year” </w:t>
      </w:r>
      <w:r>
        <w:rPr>
          <w:rFonts w:ascii="Times New Roman" w:hAnsi="Times New Roman"/>
          <w:b w:val="false"/>
          <w:i w:val="false"/>
          <w:color w:val="000000"/>
          <w:sz w:val="22"/>
        </w:rPr>
        <w:t>means the school year ending during the calendar year in which a budget is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“Basis of accounting” </w:t>
      </w:r>
      <w:r>
        <w:rPr>
          <w:rFonts w:ascii="Times New Roman" w:hAnsi="Times New Roman"/>
          <w:b w:val="false"/>
          <w:i w:val="false"/>
          <w:color w:val="000000"/>
          <w:sz w:val="22"/>
        </w:rPr>
        <w:t>means the accrual or modified accrual accounting basis under generally accepted accounting principles (GAAP) as defined by the Governmental Accounting Standards Board (GASB).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“Basis of budgeting” </w:t>
      </w:r>
      <w:r>
        <w:rPr>
          <w:rFonts w:ascii="Times New Roman" w:hAnsi="Times New Roman"/>
          <w:b w:val="false"/>
          <w:i w:val="false"/>
          <w:color w:val="000000"/>
          <w:sz w:val="22"/>
        </w:rPr>
        <w:t>means the accrual or modified accrual budgeting basis under GAAP as defined by GASB.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“Budget year” </w:t>
      </w:r>
      <w:r>
        <w:rPr>
          <w:rFonts w:ascii="Times New Roman" w:hAnsi="Times New Roman"/>
          <w:b w:val="false"/>
          <w:i w:val="false"/>
          <w:color w:val="000000"/>
          <w:sz w:val="22"/>
        </w:rPr>
        <w:t>means the school year beginning during the calendar year in which a budget is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budget” </w:t>
      </w:r>
      <w:r>
        <w:rPr>
          <w:rFonts w:ascii="Times New Roman" w:hAnsi="Times New Roman"/>
          <w:b w:val="false"/>
          <w:i w:val="false"/>
          <w:color w:val="000000"/>
          <w:sz w:val="22"/>
        </w:rPr>
        <w:t xml:space="preserve">means the document which has been published and certified as provided for in Iowa Code chapter </w:t>
      </w:r>
      <w:hyperlink r:id="rId6">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and contains the amount proposed to be expended during the budget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action” </w:t>
      </w:r>
      <w:r>
        <w:rPr>
          <w:rFonts w:ascii="Times New Roman" w:hAnsi="Times New Roman"/>
          <w:b w:val="false"/>
          <w:i w:val="false"/>
          <w:color w:val="000000"/>
          <w:sz w:val="22"/>
        </w:rPr>
        <w:t>means a situation that applies to multiple districts with the same or substantially similar needs and the SBRC has determined that the districts can be considered jointly in a single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school budget review committee (SBRC).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publicly supported school organized under Iowa Code chapter </w:t>
      </w:r>
      <w:hyperlink r:id="rId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“Expenditures” </w:t>
      </w:r>
      <w:r>
        <w:rPr>
          <w:rFonts w:ascii="Times New Roman" w:hAnsi="Times New Roman"/>
          <w:b w:val="false"/>
          <w:i w:val="false"/>
          <w:color w:val="000000"/>
          <w:sz w:val="22"/>
        </w:rPr>
        <w:t>means the total amounts paid from the general fund of a school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“Miscellaneous income” </w:t>
      </w:r>
      <w:r>
        <w:rPr>
          <w:rFonts w:ascii="Times New Roman" w:hAnsi="Times New Roman"/>
          <w:b w:val="false"/>
          <w:i w:val="false"/>
          <w:color w:val="000000"/>
          <w:sz w:val="22"/>
        </w:rPr>
        <w:t>means the receipts deposited to the general fund of the school district but not including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Foundation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Revenue obtained from the foundation property tax as defined in Iowa Code section </w:t>
      </w:r>
      <w:hyperlink r:id="rId8">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Cash reserve levy.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Revenue obtained from the additional property tax under Iowa Code section </w:t>
      </w:r>
      <w:hyperlink r:id="rId9">
        <w:r>
          <w:rPr>
            <w:rStyle w:val="Hyperlink"/>
            <w:rFonts w:ascii="Times New Roman" w:hAnsi="Times New Roman"/>
            <w:b w:val="false"/>
            <w:i w:val="false"/>
            <w:color w:val="000000"/>
            <w:sz w:val="22"/>
          </w:rPr>
          <w:t>257.4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“Modified supplemental amount” </w:t>
      </w:r>
      <w:r>
        <w:rPr>
          <w:rFonts w:ascii="Times New Roman" w:hAnsi="Times New Roman"/>
          <w:b w:val="false"/>
          <w:i w:val="false"/>
          <w:color w:val="000000"/>
          <w:sz w:val="22"/>
        </w:rPr>
        <w:t>means an amount expressed in dollars which is added to the district’s authorized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corporation” </w:t>
      </w:r>
      <w:r>
        <w:rPr>
          <w:rFonts w:ascii="Times New Roman" w:hAnsi="Times New Roman"/>
          <w:b w:val="false"/>
          <w:i w:val="false"/>
          <w:color w:val="000000"/>
          <w:sz w:val="22"/>
        </w:rPr>
        <w:t>means a school district, area education agency,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 school corporation organized under Iowa Code chapter </w:t>
      </w:r>
      <w:hyperlink r:id="rId10">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“Unexpended fund balance” </w:t>
      </w:r>
      <w:r>
        <w:rPr>
          <w:rFonts w:ascii="Times New Roman" w:hAnsi="Times New Roman"/>
          <w:b w:val="false"/>
          <w:i w:val="false"/>
          <w:color w:val="000000"/>
          <w:sz w:val="22"/>
        </w:rPr>
        <w:t>means the school district’s or AEA’s fund balance in the general fund reported by the school district or AEA on the GAAP basis of accounting on its certified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“Unspent balance” </w:t>
      </w:r>
      <w:r>
        <w:rPr>
          <w:rFonts w:ascii="Times New Roman" w:hAnsi="Times New Roman"/>
          <w:b w:val="false"/>
          <w:i w:val="false"/>
          <w:color w:val="000000"/>
          <w:sz w:val="22"/>
        </w:rPr>
        <w:t>means the amount of the authorized budget for the general fund less the amount expended during the budget year on the GAAP basis of budgeting as reported by the school district on its certified annual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0088C</w:t>
      </w:r>
      <w:r>
        <w:rPr>
          <w:rFonts w:ascii="Times New Roman" w:hAnsi="Times New Roman"/>
          <w:b w:val="false"/>
          <w:i w:val="false"/>
          <w:color w:val="000000"/>
          <w:sz w:val="16"/>
        </w:rPr>
        <w:t>, IAB 4/18/12, effective 5/23/12</w:t>
      </w:r>
      <w:r>
        <w:rPr>
          <w:rFonts w:ascii="Times New Roman" w:hAnsi="Times New Roman"/>
          <w:b w:val="false"/>
          <w:i w:val="false"/>
          <w:color w:val="000000"/>
          <w:sz w:val="16"/>
        </w:rPr>
        <w:t xml:space="preserve">; </w:t>
      </w:r>
      <w:r>
        <w:rPr>
          <w:rFonts w:ascii="Times New Roman" w:hAnsi="Times New Roman"/>
          <w:b/>
          <w:i w:val="false"/>
          <w:color w:val="000000"/>
          <w:sz w:val="16"/>
        </w:rPr>
        <w:t>ARC 4782C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289—6.2</w:t>
      </w:r>
      <w:r>
        <w:rPr>
          <w:rFonts w:ascii="Times New Roman" w:hAnsi="Times New Roman"/>
          <w:b/>
          <w:i w:val="false"/>
          <w:color w:val="000000"/>
          <w:sz w:val="22"/>
        </w:rPr>
        <w:t xml:space="preserve">(257) </w:t>
      </w:r>
      <w:r>
        <w:rPr>
          <w:rFonts w:ascii="Times New Roman" w:hAnsi="Times New Roman"/>
          <w:b/>
          <w:i w:val="false"/>
          <w:color w:val="000000"/>
          <w:sz w:val="22"/>
        </w:rPr>
        <w:t xml:space="preserve">Hearings.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1/12/11</w:t>
      </w:r>
      <w:r>
        <w:rPr>
          <w:rFonts w:ascii="Times New Roman" w:hAnsi="Times New Roman"/>
          <w:b w:val="false"/>
          <w:i w:val="false"/>
          <w:color w:val="000000"/>
          <w:sz w:val="22"/>
        </w:rPr>
        <w:t>, effective 2/16/11.</w:t>
      </w:r>
    </w:p>
    <w:p>
      <w:pPr>
        <w:spacing w:before="0" w:after="0"/>
        <w:ind w:left="120"/>
        <w:jc w:val="both"/>
      </w:pPr>
      <w:r>
        <w:rPr>
          <w:rFonts w:ascii="Times New Roman" w:hAnsi="Times New Roman"/>
          <w:b/>
          <w:i w:val="false"/>
          <w:color w:val="000000"/>
          <w:sz w:val="22"/>
        </w:rPr>
        <w:t>289—6.3</w:t>
      </w:r>
      <w:r>
        <w:rPr>
          <w:rFonts w:ascii="Times New Roman" w:hAnsi="Times New Roman"/>
          <w:b/>
          <w:i w:val="false"/>
          <w:color w:val="000000"/>
          <w:sz w:val="22"/>
        </w:rPr>
        <w:t xml:space="preserve">(257)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a school corporation requesting a hearing before the SBRC is required, after taking official board action on the subject of the hearing, to submit an electronic request to the committee stating the reason for the request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must be received by the committee at least one month prior to the date of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 corporations with similar requests may appear and present their requests jointly at the discretion of the SBRC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electronic confirmation of each request shall be provided to the school corporation upon receipt of the 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SBRC may require board members or employees of any school corporation to appear. School corporations required to have a board member or employee appear shall be notified no later than three weeks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 corporations scheduled for hearings shall be notified no later than one week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school corporation desiring to withdraw its request to appear before the SBRC shall immediately inform the committee and the legislators within whose constituency the school corporation is located. A school corporation required to appear may not withdraw without the approval of the SBRC.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Material for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information requested by the committee must be provided within the timelines requested by the committee in order for the school corporation to be included on the schedule for a hearing. One full set of materials provided electronically in a format that can be cut and pasted into official documentation shall be submitted at least four weeks prior to the scheduled hearing. The SBRC chairperson may set an earlier due date for information if necessary for adequate review based on the quantity or complexity of hearings. If a school corporation’s exhibits for a hearing the school corporation has requested are not received timely, the school corporation’s hearing may be postponed to the next following regularly scheduled session. Where applicable, the committee will provide forms or checklists to school corporations to obtain uniform and comparable data for determining committee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 corporations shall include in their materials for the hearing a copy of the board minutes that include the official action taken by the applicable school corporation board on the subject of the hearing and authorizing the school corporation’s administrative officials to request modified supplemental amount or use of the unexpended fund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shall be the responsibility of the administrative officials and board members to present information and materials in support of their school corporation’s request to the committee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SBRC may require staff of the department of education or department of management to appear or provide information for a hearing or for a study. The SBRC may require staff of any school corporation to provide information for a hearing related to another school corporation or for a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order for the SBRC to have the information necessary to evaluate balances and budgets as required by the Iowa Code or to evaluate materials submitted by school districts or AEAs, all school districts and AEAs shall file financial and enrollment reports, including the certified annual report, in the manner, by the procedures, and by the dates prescribed by the department of education or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requirements in paragraph </w:t>
      </w:r>
      <w:hyperlink r:id="rId11">
        <w:r>
          <w:rPr>
            <w:rStyle w:val="Hyperlink"/>
            <w:rFonts w:ascii="Times New Roman" w:hAnsi="Times New Roman"/>
            <w:b w:val="false"/>
            <w:i w:val="false"/>
            <w:color w:val="000000"/>
            <w:sz w:val="22"/>
          </w:rPr>
          <w:t>6.3(3)</w:t>
        </w:r>
        <w:r>
          <w:rPr>
            <w:rFonts w:ascii="Times New Roman" w:hAnsi="Times New Roman"/>
            <w:b w:val="false"/>
            <w:i/>
            <w:color w:val="000000"/>
            <w:sz w:val="22"/>
          </w:rPr>
          <w:t>“e”</w:t>
        </w:r>
      </w:hyperlink>
      <w:r>
        <w:rPr>
          <w:rFonts w:ascii="Times New Roman" w:hAnsi="Times New Roman"/>
          <w:b w:val="false"/>
          <w:i w:val="false"/>
          <w:color w:val="000000"/>
          <w:sz w:val="22"/>
        </w:rPr>
        <w:t xml:space="preserve"> are not met, the SBRC may implement the procedures described in subrule </w:t>
      </w:r>
      <w:hyperlink r:id="rId12">
        <w:r>
          <w:rPr>
            <w:rStyle w:val="Hyperlink"/>
            <w:rFonts w:ascii="Times New Roman" w:hAnsi="Times New Roman"/>
            <w:b w:val="false"/>
            <w:i w:val="false"/>
            <w:color w:val="000000"/>
            <w:sz w:val="22"/>
          </w:rPr>
          <w:t>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Applications for any supplemental aid funding shall be filed by the due date established in the Iowa Code, an administrative rule, or otherwise by the department of education or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Applications for modified supplemental amount for increased certified enrollment over the prior year’s enrollment, applications for modified supplemental amount to pay tuition costs for open-enrolled-out students who were not enrolled in the district on the certified enrollment date in the prior year, and applications for modified supplemental amount for excess costs of instructional programs for limited English proficient students must be received no later than December 1 of the budget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Applications for modified supplemental amount for adopted program plans for at-risk students, secondary students who attend alternative programs and alternative schools, and returning dropouts and dropout prevention shall be filed by January 15 of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Requests to charge administrative costs to the special education program for the subsequent fiscal year must be received no later than February 1 of the base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described in paragraph </w:t>
      </w:r>
      <w:hyperlink r:id="rId13">
        <w:r>
          <w:rPr>
            <w:rStyle w:val="Hyperlink"/>
            <w:rFonts w:ascii="Times New Roman" w:hAnsi="Times New Roman"/>
            <w:b w:val="false"/>
            <w:i w:val="false"/>
            <w:color w:val="000000"/>
            <w:sz w:val="22"/>
          </w:rPr>
          <w:t>6.3(3)</w:t>
        </w:r>
        <w:r>
          <w:rPr>
            <w:rFonts w:ascii="Times New Roman" w:hAnsi="Times New Roman"/>
            <w:b w:val="false"/>
            <w:i/>
            <w:color w:val="000000"/>
            <w:sz w:val="22"/>
          </w:rPr>
          <w:t>“g”</w:t>
        </w:r>
      </w:hyperlink>
      <w:r>
        <w:rPr>
          <w:rFonts w:ascii="Times New Roman" w:hAnsi="Times New Roman"/>
          <w:b w:val="false"/>
          <w:i w:val="false"/>
          <w:color w:val="000000"/>
          <w:sz w:val="22"/>
        </w:rPr>
        <w:t xml:space="preserve"> that are not timely filed will not be considered for supplemental aid or for modified supplemental amount. Applications described in paragraphs </w:t>
      </w:r>
      <w:hyperlink r:id="rId14">
        <w:r>
          <w:rPr>
            <w:rStyle w:val="Hyperlink"/>
            <w:rFonts w:ascii="Times New Roman" w:hAnsi="Times New Roman"/>
            <w:b w:val="false"/>
            <w:i w:val="false"/>
            <w:color w:val="000000"/>
            <w:sz w:val="22"/>
          </w:rPr>
          <w:t>6.3(3)</w:t>
        </w:r>
        <w:r>
          <w:rPr>
            <w:rFonts w:ascii="Times New Roman" w:hAnsi="Times New Roman"/>
            <w:b w:val="false"/>
            <w:i/>
            <w:color w:val="000000"/>
            <w:sz w:val="22"/>
          </w:rPr>
          <w:t>“h”</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
        </w:r>
        <w:r>
          <w:rPr>
            <w:rFonts w:ascii="Times New Roman" w:hAnsi="Times New Roman"/>
            <w:b w:val="false"/>
            <w:i/>
            <w:color w:val="000000"/>
            <w:sz w:val="22"/>
          </w:rPr>
          <w:t>“j”</w:t>
        </w:r>
      </w:hyperlink>
      <w:r>
        <w:rPr>
          <w:rFonts w:ascii="Times New Roman" w:hAnsi="Times New Roman"/>
          <w:b w:val="false"/>
          <w:i w:val="false"/>
          <w:color w:val="000000"/>
          <w:sz w:val="22"/>
        </w:rPr>
        <w:t xml:space="preserve"> that are not timely filed may be considered at the sole discretion of the SBRC. Applications described in paragraph 6.3(3)</w:t>
      </w:r>
      <w:r>
        <w:rPr>
          <w:rFonts w:ascii="Times New Roman" w:hAnsi="Times New Roman"/>
          <w:b w:val="false"/>
          <w:i/>
          <w:color w:val="000000"/>
          <w:sz w:val="22"/>
        </w:rPr>
        <w:t>“i”</w:t>
      </w:r>
      <w:r>
        <w:rPr>
          <w:rFonts w:ascii="Times New Roman" w:hAnsi="Times New Roman"/>
          <w:b w:val="false"/>
          <w:i w:val="false"/>
          <w:color w:val="000000"/>
          <w:sz w:val="22"/>
        </w:rPr>
        <w:t xml:space="preserve"> that are submitted after January 15 but before March 1 of the budget year preceding the budget year during which the program will be offered may be considered at the sole discretion of the SBRC; applications received after March 1 shall not be considered by the SBRC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w:t>
      </w:r>
      <w:r>
        <w:rPr>
          <w:rFonts w:ascii="Times New Roman" w:hAnsi="Times New Roman"/>
          <w:b w:val="false"/>
          <w:i w:val="false"/>
          <w:color w:val="000000"/>
          <w:sz w:val="22"/>
        </w:rPr>
        <w:t> </w:t>
      </w:r>
      <w:r>
        <w:rPr>
          <w:rFonts w:ascii="Times New Roman" w:hAnsi="Times New Roman"/>
          <w:b w:val="false"/>
          <w:i/>
          <w:color w:val="000000"/>
          <w:sz w:val="22"/>
        </w:rPr>
        <w:t xml:space="preserve">Permission to speak during the hearing. </w:t>
      </w:r>
      <w:r>
        <w:rPr>
          <w:rFonts w:ascii="Times New Roman" w:hAnsi="Times New Roman"/>
          <w:b w:val="false"/>
          <w:i w:val="false"/>
          <w:color w:val="000000"/>
          <w:sz w:val="22"/>
        </w:rPr>
        <w:t>Any person wishing to appear before the committee, other than the board member or school corporation employee representing the school corporation, shall submit a request in writing prior to the hearing date. Permission may be granted to a request made at the hearing upon a majority vote of the committee members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w:t>
      </w:r>
      <w:r>
        <w:rPr>
          <w:rFonts w:ascii="Times New Roman" w:hAnsi="Times New Roman"/>
          <w:b w:val="false"/>
          <w:i w:val="false"/>
          <w:color w:val="000000"/>
          <w:sz w:val="22"/>
        </w:rPr>
        <w:t> </w:t>
      </w:r>
      <w:r>
        <w:rPr>
          <w:rFonts w:ascii="Times New Roman" w:hAnsi="Times New Roman"/>
          <w:b w:val="false"/>
          <w:i/>
          <w:color w:val="000000"/>
          <w:sz w:val="22"/>
        </w:rPr>
        <w:t xml:space="preserve">Failure to appear or to provide information. </w:t>
      </w:r>
      <w:r>
        <w:rPr>
          <w:rFonts w:ascii="Times New Roman" w:hAnsi="Times New Roman"/>
          <w:b w:val="false"/>
          <w:i w:val="false"/>
          <w:color w:val="000000"/>
          <w:sz w:val="22"/>
        </w:rPr>
        <w:t xml:space="preserve">If any school corporation fails to appear as required by the committee or fails to provide any information requested by the SBRC, including the reports described in paragraph </w:t>
      </w:r>
      <w:hyperlink r:id="rId16">
        <w:r>
          <w:rPr>
            <w:rStyle w:val="Hyperlink"/>
            <w:rFonts w:ascii="Times New Roman" w:hAnsi="Times New Roman"/>
            <w:b w:val="false"/>
            <w:i w:val="false"/>
            <w:color w:val="000000"/>
            <w:sz w:val="22"/>
          </w:rPr>
          <w:t>6.3(3)</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SBRC may direct the director of the department of management to withhold state foundation aid until the school corporation complies with the SBRC’s request. When the school corporation satisfactorily complies with the SBRC request, the withheld state foundation aid will be released and paid to the school corporation with the next regularly scheduled payment of foundation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w:t>
      </w:r>
      <w:r>
        <w:rPr>
          <w:rFonts w:ascii="Times New Roman" w:hAnsi="Times New Roman"/>
          <w:b w:val="false"/>
          <w:i w:val="false"/>
          <w:color w:val="000000"/>
          <w:sz w:val="22"/>
        </w:rPr>
        <w:t> </w:t>
      </w:r>
      <w:r>
        <w:rPr>
          <w:rFonts w:ascii="Times New Roman" w:hAnsi="Times New Roman"/>
          <w:b w:val="false"/>
          <w:i/>
          <w:color w:val="000000"/>
          <w:sz w:val="22"/>
        </w:rPr>
        <w:t xml:space="preserve">Decisions by the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decision to table, deny, modify or grant the request of a school corporation shall be made no later than the end of the day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corporation shall receive electronic notification when a summary of the final action taken by the committee is posted on the SBRC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shall consider the intent of Iowa Code chapter </w:t>
      </w:r>
      <w:hyperlink r:id="rId17">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in making its decisions. The intent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Equalizing educational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good education to all Iowa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property tax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Decreasing the percentage of school costs paid by property tax,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Providing reasonable control of school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Iowa Code section </w:t>
      </w:r>
      <w:hyperlink r:id="rId18">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 the committee shall also consider in making its decisions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unexpended fund balance available in all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unspent balance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Iowa Code section </w:t>
      </w:r>
      <w:hyperlink r:id="rId19">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 the committee may consider the following if materials are requested or provided by the department or school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school district tax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 taxpayer support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effort to obtain alternative funding where available and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Documented actual costs of the program or project that is the subject of the request not otherwise covered by funding for the same program or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Sustainability of the program or need within the district or AEA budget without future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and cost of previous requests for the same need and the number and cost of all previous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Alternative procedures in the Iowa Code or administrative rules to provide funding for the same program or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Life safety issues other than those covered in Iowa Code section </w:t>
      </w:r>
      <w:hyperlink r:id="rId20">
        <w:r>
          <w:rPr>
            <w:rStyle w:val="Hyperlink"/>
            <w:rFonts w:ascii="Times New Roman" w:hAnsi="Times New Roman"/>
            <w:b w:val="false"/>
            <w:i w:val="false"/>
            <w:color w:val="000000"/>
            <w:sz w:val="22"/>
          </w:rPr>
          <w:t>257.31(6)</w:t>
        </w:r>
      </w:hyperlink>
      <w:r>
        <w:rPr>
          <w:rFonts w:ascii="Times New Roman" w:hAnsi="Times New Roman"/>
          <w:b w:val="false"/>
          <w:i w:val="false"/>
          <w:color w:val="000000"/>
          <w:sz w:val="22"/>
        </w:rPr>
        <w:t xml:space="preserve"> documented through an independent, authoritative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Unusual or unique nature of the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SBRC members consider pertinent to the consideration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color w:val="000000"/>
          <w:sz w:val="22"/>
        </w:rPr>
        <w:t xml:space="preserve">Routine action by the committee. </w:t>
      </w:r>
      <w:r>
        <w:rPr>
          <w:rFonts w:ascii="Times New Roman" w:hAnsi="Times New Roman"/>
          <w:b w:val="false"/>
          <w:i w:val="false"/>
          <w:color w:val="000000"/>
          <w:sz w:val="22"/>
        </w:rPr>
        <w:t>School corporations do not need to be represented when action under consideration is for such items as cash reserve levies; adopted program plans for at-risk students, secondary students who attend alternative programs and alternative schools, and returning dropouts and dropout prevention; special education balances or other situations which are considered class actions as determined by the SBRC.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w:t>
      </w:r>
      <w:r>
        <w:rPr>
          <w:rFonts w:ascii="Times New Roman" w:hAnsi="Times New Roman"/>
          <w:b w:val="false"/>
          <w:i w:val="false"/>
          <w:color w:val="000000"/>
          <w:sz w:val="22"/>
        </w:rPr>
        <w:t> </w:t>
      </w:r>
      <w:r>
        <w:rPr>
          <w:rFonts w:ascii="Times New Roman" w:hAnsi="Times New Roman"/>
          <w:b w:val="false"/>
          <w:i/>
          <w:color w:val="000000"/>
          <w:sz w:val="22"/>
        </w:rPr>
        <w:t xml:space="preserve">Basic policies. </w:t>
      </w:r>
      <w:r>
        <w:rPr>
          <w:rFonts w:ascii="Times New Roman" w:hAnsi="Times New Roman"/>
          <w:b w:val="false"/>
          <w:i w:val="false"/>
          <w:color w:val="000000"/>
          <w:sz w:val="22"/>
        </w:rPr>
        <w:t>The SBRC has established the following basic policies that it shall consider in rendering its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Modified supplemental amount requests shall be considered only for costs up through the budget year, except where the Iowa Code expressly authorizes modified supplemental amount to be granted for a subsequent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Modified supplemental amount requests shall be considered only for expenditures permitted from the general fund pursuant to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Modified supplemental amount requests may be brought before the committee for unusual, unique or unforeseeable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Modified supplemental amount requests shall be considered only to the extent of the actual, documented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w:t>
      </w:r>
      <w:r>
        <w:rPr>
          <w:rFonts w:ascii="Times New Roman" w:hAnsi="Times New Roman"/>
          <w:b w:val="false"/>
          <w:i w:val="false"/>
          <w:color w:val="000000"/>
          <w:sz w:val="22"/>
        </w:rPr>
        <w:t> </w:t>
      </w:r>
      <w:r>
        <w:rPr>
          <w:rFonts w:ascii="Times New Roman" w:hAnsi="Times New Roman"/>
          <w:b w:val="false"/>
          <w:i/>
          <w:color w:val="000000"/>
          <w:sz w:val="22"/>
        </w:rPr>
        <w:t xml:space="preserve">Use of the unexpended fund balance. </w:t>
      </w:r>
      <w:r>
        <w:rPr>
          <w:rFonts w:ascii="Times New Roman" w:hAnsi="Times New Roman"/>
          <w:b w:val="false"/>
          <w:i w:val="false"/>
          <w:color w:val="000000"/>
          <w:sz w:val="22"/>
        </w:rPr>
        <w:t>If the SBRC approves use of the unexpended fund balance, the school district shall report to the committee as required by the committee an accounting of expenditures on the project until the project is completed. If any portion of the amount granted by the SBRC remains unexpended at the completion of the project, the school district shall notify the SBRC on or before the SBRC’s next regularly scheduled meeting. Any portion of the amount granted by the SBRC that remains unexpended at the completion of the project shall be returned to the unexpended fund balance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w:t>
      </w:r>
      <w:r>
        <w:rPr>
          <w:rFonts w:ascii="Times New Roman" w:hAnsi="Times New Roman"/>
          <w:b w:val="false"/>
          <w:i w:val="false"/>
          <w:color w:val="000000"/>
          <w:sz w:val="22"/>
        </w:rPr>
        <w:t> </w:t>
      </w:r>
      <w:r>
        <w:rPr>
          <w:rFonts w:ascii="Times New Roman" w:hAnsi="Times New Roman"/>
          <w:b w:val="false"/>
          <w:i/>
          <w:color w:val="000000"/>
          <w:sz w:val="22"/>
        </w:rPr>
        <w:t xml:space="preserve">Modified supplemental amount to an AEA. </w:t>
      </w:r>
      <w:r>
        <w:rPr>
          <w:rFonts w:ascii="Times New Roman" w:hAnsi="Times New Roman"/>
          <w:b w:val="false"/>
          <w:i w:val="false"/>
          <w:color w:val="000000"/>
          <w:sz w:val="22"/>
        </w:rPr>
        <w:t>If the SBRC approves modified supplemental amount for special education support services, approves an additional amount to be added to district costs for media services or educational services, or approves modified supplemental amount for unusual circumstances, the amount shall be included in the budget of each district in the AEA for the subsequent budget year in the proportion that the appropriate enrollment of each district in the AEA bears to the total enrollment of all districts in the AEA.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0088C</w:t>
      </w:r>
      <w:r>
        <w:rPr>
          <w:rFonts w:ascii="Times New Roman" w:hAnsi="Times New Roman"/>
          <w:b w:val="false"/>
          <w:i w:val="false"/>
          <w:color w:val="000000"/>
          <w:sz w:val="16"/>
        </w:rPr>
        <w:t>, IAB 4/18/12, effective 5/23/12</w:t>
      </w:r>
      <w:r>
        <w:rPr>
          <w:rFonts w:ascii="Times New Roman" w:hAnsi="Times New Roman"/>
          <w:b w:val="false"/>
          <w:i w:val="false"/>
          <w:color w:val="000000"/>
          <w:sz w:val="16"/>
        </w:rPr>
        <w:t xml:space="preserve">; </w:t>
      </w:r>
      <w:r>
        <w:rPr>
          <w:rFonts w:ascii="Times New Roman" w:hAnsi="Times New Roman"/>
          <w:b/>
          <w:i w:val="false"/>
          <w:color w:val="000000"/>
          <w:sz w:val="16"/>
        </w:rPr>
        <w:t>ARC 4782C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5546C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289—6.4</w:t>
      </w:r>
      <w:r>
        <w:rPr>
          <w:rFonts w:ascii="Times New Roman" w:hAnsi="Times New Roman"/>
          <w:b/>
          <w:i w:val="false"/>
          <w:color w:val="000000"/>
          <w:sz w:val="22"/>
        </w:rPr>
        <w:t xml:space="preserve">(257) </w:t>
      </w:r>
      <w:r>
        <w:rPr>
          <w:rFonts w:ascii="Times New Roman" w:hAnsi="Times New Roman"/>
          <w:b/>
          <w:i w:val="false"/>
          <w:color w:val="000000"/>
          <w:sz w:val="22"/>
        </w:rPr>
        <w:t xml:space="preserve">General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Review of rules, regulations, directives and forms. </w:t>
      </w:r>
      <w:r>
        <w:rPr>
          <w:rFonts w:ascii="Times New Roman" w:hAnsi="Times New Roman"/>
          <w:b w:val="false"/>
          <w:i w:val="false"/>
          <w:color w:val="000000"/>
          <w:sz w:val="22"/>
        </w:rPr>
        <w:t>The committee may recommend the revision of any rules, regulations, directives, or forms relating to school district budgeting and accounting, confer with local school boards or their representatives and make recommendations relating to any budgeting or accounting matters, and direct the director of the department of education or the director of the department of management to make studies and investigations of school costs in any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Hearing decisions. </w:t>
      </w:r>
      <w:r>
        <w:rPr>
          <w:rFonts w:ascii="Times New Roman" w:hAnsi="Times New Roman"/>
          <w:b w:val="false"/>
          <w:i w:val="false"/>
          <w:color w:val="000000"/>
          <w:sz w:val="22"/>
        </w:rPr>
        <w:t>The committee shall maintain its decisions for each hearing. Materials provided by the requesting school corporation, materials provided by the department of education or department of management regarding each request, and the decisions of the committee are available for access by the public, including members of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0088C</w:t>
      </w:r>
      <w:r>
        <w:rPr>
          <w:rFonts w:ascii="Times New Roman" w:hAnsi="Times New Roman"/>
          <w:b w:val="false"/>
          <w:i w:val="false"/>
          <w:color w:val="000000"/>
          <w:sz w:val="16"/>
        </w:rPr>
        <w:t>, IAB 4/18/12, effective 5/23/12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289—6.5</w:t>
      </w:r>
      <w:r>
        <w:rPr>
          <w:rFonts w:ascii="Times New Roman" w:hAnsi="Times New Roman"/>
          <w:b/>
          <w:i w:val="false"/>
          <w:color w:val="000000"/>
          <w:sz w:val="22"/>
        </w:rPr>
        <w:t xml:space="preserve">(257) </w:t>
      </w:r>
      <w:r>
        <w:rPr>
          <w:rFonts w:ascii="Times New Roman" w:hAnsi="Times New Roman"/>
          <w:b/>
          <w:i w:val="false"/>
          <w:color w:val="000000"/>
          <w:sz w:val="22"/>
        </w:rPr>
        <w:t xml:space="preserve">Budgets.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Generally accepted accounting principles. </w:t>
      </w:r>
      <w:r>
        <w:rPr>
          <w:rFonts w:ascii="Times New Roman" w:hAnsi="Times New Roman"/>
          <w:b w:val="false"/>
          <w:i w:val="false"/>
          <w:color w:val="000000"/>
          <w:sz w:val="22"/>
        </w:rPr>
        <w:t>All school districts and AEAs shall budget on the GAAP basis of budgeting as defined by GASB and as implemented in Uniform Financial Accounting for Iowa LEAs and AEAs (UFA). School districts and area education agencies shall use the chart of accounts defined in Uniform Financial Accounting for Iowa LEAs and AEAs (UFA).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Accounting and reporting. </w:t>
      </w:r>
      <w:r>
        <w:rPr>
          <w:rFonts w:ascii="Times New Roman" w:hAnsi="Times New Roman"/>
          <w:b w:val="false"/>
          <w:i w:val="false"/>
          <w:color w:val="000000"/>
          <w:sz w:val="22"/>
        </w:rPr>
        <w:t>School districts and AEAs shall maintain financial records and prepare financial reports, including the certified annual report, in the manner and by the procedures prescribed by the department of education or department of management in the Uniform Financial Accounting for Iowa LEAs and AEAs (UFA) manual and GAAP. School districts and AEAs shall use the chart of accounts defined in Uniform Financial Accounting for Iowa LEAs and AEAs (UFA).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Negative unspent balances (exceeding authorized budgets). </w:t>
      </w:r>
      <w:r>
        <w:rPr>
          <w:rFonts w:ascii="Times New Roman" w:hAnsi="Times New Roman"/>
          <w:b w:val="false"/>
          <w:i w:val="false"/>
          <w:color w:val="000000"/>
          <w:sz w:val="22"/>
        </w:rPr>
        <w:t>If the school district has incurred a negative unspent balance, it shall notify the SBRC no later than October 15 and begin developing its corrective action plan to avoid future negative unspent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the unspent balance as well as the unexpended fund balance of each school district for each fiscal year shall be reviewed by the committee. The unspent balance and the unexpended fund balance shall be presented on the GAAP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any negative unspent balance shall be automatically subtracted from the authorized budget of a given school district during the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board of education may be notified of the school districts with negative unspent balances each year. The notification shall include the amount by which the school district exceeded its authorized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president of each school district with a negative unspent balance shall be notified of the amount by which the school district exceeded its authorized budget. The school districts shall inform the SBRC at the SBRC’s next regularly scheduled session of the plans that are being implemented to avoid future negative unspent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SBRC may require the district to continue to report progress on the district’s plans at regular intervals as determined by the committee until the committee is satisfied that the district’s financial condition concerns have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color w:val="000000"/>
          <w:sz w:val="22"/>
        </w:rPr>
        <w:t xml:space="preserve">Cash reserve levy.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the school budget review committee shall review the amount of property tax levied by each school district for the cash reserve authorized in Iowa Code section </w:t>
      </w:r>
      <w:hyperlink r:id="rId21">
        <w:r>
          <w:rPr>
            <w:rStyle w:val="Hyperlink"/>
            <w:rFonts w:ascii="Times New Roman" w:hAnsi="Times New Roman"/>
            <w:b w:val="false"/>
            <w:i w:val="false"/>
            <w:color w:val="000000"/>
            <w:sz w:val="22"/>
          </w:rPr>
          <w:t>298.10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in the committee’s judgment, the amount of a district’s cash reserve levy is unreasonably high or is in excess of the amount necessary for operations, the committee shall instruct the district to use the unexpended fund balance in lieu of levying property taxes and shall direct the director of the department of management to limit that school district’s cash reserve levy to a level that is not excessive as determined by the committee and does not exceed the cash reserve limitation in paragraph </w:t>
      </w:r>
      <w:hyperlink r:id="rId22">
        <w:r>
          <w:rPr>
            <w:rStyle w:val="Hyperlink"/>
            <w:rFonts w:ascii="Times New Roman" w:hAnsi="Times New Roman"/>
            <w:b w:val="false"/>
            <w:i w:val="false"/>
            <w:color w:val="000000"/>
            <w:sz w:val="22"/>
          </w:rPr>
          <w:t>6.5(4)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cash reserve levies for the budget year shall not exceed 20 percent of the general fund expenditures for the year previous to the base year minus the general fund unexpended fund balance for the year previous to the base year. The expenditures and the fund balances shall be determined on the GAAP basis. For purposes of this subrule, “unexpended fund balance” shall mean the combined assigned and unassigned fund balances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reduction in a district’s property tax levy for a budget year for cash reserve shall not affect the school district’s authorized budget.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w:t>
      </w:r>
      <w:r>
        <w:rPr>
          <w:rFonts w:ascii="Times New Roman" w:hAnsi="Times New Roman"/>
          <w:b w:val="false"/>
          <w:i w:val="false"/>
          <w:color w:val="000000"/>
          <w:sz w:val="22"/>
        </w:rPr>
        <w:t> </w:t>
      </w:r>
      <w:r>
        <w:rPr>
          <w:rFonts w:ascii="Times New Roman" w:hAnsi="Times New Roman"/>
          <w:b w:val="false"/>
          <w:i/>
          <w:color w:val="000000"/>
          <w:sz w:val="22"/>
        </w:rPr>
        <w:t xml:space="preserve">Supplemental aid and modified allowable growth.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4/18/12</w:t>
      </w:r>
      <w:r>
        <w:rPr>
          <w:rFonts w:ascii="Times New Roman" w:hAnsi="Times New Roman"/>
          <w:b w:val="false"/>
          <w:i w:val="false"/>
          <w:color w:val="000000"/>
          <w:sz w:val="22"/>
        </w:rPr>
        <w:t>, effective 5/23/12.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0088C</w:t>
      </w:r>
      <w:r>
        <w:rPr>
          <w:rFonts w:ascii="Times New Roman" w:hAnsi="Times New Roman"/>
          <w:b w:val="false"/>
          <w:i w:val="false"/>
          <w:color w:val="000000"/>
          <w:sz w:val="16"/>
        </w:rPr>
        <w:t>, IAB 4/18/12, effective 5/23/12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289—6.6</w:t>
      </w:r>
      <w:r>
        <w:rPr>
          <w:rFonts w:ascii="Times New Roman" w:hAnsi="Times New Roman"/>
          <w:b/>
          <w:i w:val="false"/>
          <w:color w:val="000000"/>
          <w:sz w:val="22"/>
        </w:rPr>
        <w:t xml:space="preserve">(257) </w:t>
      </w:r>
      <w:r>
        <w:rPr>
          <w:rFonts w:ascii="Times New Roman" w:hAnsi="Times New Roman"/>
          <w:b/>
          <w:i w:val="false"/>
          <w:color w:val="000000"/>
          <w:sz w:val="22"/>
        </w:rPr>
        <w:t xml:space="preserve">Special needs adjustment program.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4/18/12</w:t>
      </w:r>
      <w:r>
        <w:rPr>
          <w:rFonts w:ascii="Times New Roman" w:hAnsi="Times New Roman"/>
          <w:b w:val="false"/>
          <w:i w:val="false"/>
          <w:color w:val="000000"/>
          <w:sz w:val="22"/>
        </w:rPr>
        <w:t>, effective 5/23/12.</w:t>
      </w:r>
    </w:p>
    <w:p>
      <w:pPr>
        <w:spacing w:before="210" w:after="0"/>
        <w:ind w:left="120"/>
        <w:jc w:val="both"/>
      </w:pPr>
      <w:r>
        <w:rPr>
          <w:rFonts w:ascii="Times New Roman" w:hAnsi="Times New Roman"/>
          <w:b/>
          <w:i w:val="false"/>
          <w:color w:val="000000"/>
          <w:sz w:val="22"/>
        </w:rPr>
        <w:t>289—6.7</w:t>
      </w:r>
      <w:r>
        <w:rPr>
          <w:rFonts w:ascii="Times New Roman" w:hAnsi="Times New Roman"/>
          <w:b/>
          <w:i w:val="false"/>
          <w:color w:val="000000"/>
          <w:sz w:val="22"/>
        </w:rPr>
        <w:t xml:space="preserve">(257) </w:t>
      </w:r>
      <w:r>
        <w:rPr>
          <w:rFonts w:ascii="Times New Roman" w:hAnsi="Times New Roman"/>
          <w:b/>
          <w:i w:val="false"/>
          <w:color w:val="000000"/>
          <w:sz w:val="22"/>
        </w:rPr>
        <w:t xml:space="preserve">Sharing. </w:t>
      </w:r>
      <w:r>
        <w:rPr>
          <w:rFonts w:ascii="Times New Roman" w:hAnsi="Times New Roman"/>
          <w:b w:val="false"/>
          <w:i w:val="false"/>
          <w:color w:val="000000"/>
          <w:sz w:val="22"/>
        </w:rPr>
        <w:t xml:space="preserve">The committee may recommend that two or more school districts jointly employ and share the services of any school personnel, or acquire and share the use of classrooms, laboratories, equipment, and facilities as specified in Iowa Code section </w:t>
      </w:r>
      <w:hyperlink r:id="rId23">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289—6.8</w:t>
      </w:r>
      <w:r>
        <w:rPr>
          <w:rFonts w:ascii="Times New Roman" w:hAnsi="Times New Roman"/>
          <w:b/>
          <w:i w:val="false"/>
          <w:color w:val="000000"/>
          <w:sz w:val="22"/>
        </w:rPr>
        <w:t xml:space="preserve">Transportation assistance aid.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289—6.9</w:t>
      </w:r>
      <w:r>
        <w:rPr>
          <w:rFonts w:ascii="Times New Roman" w:hAnsi="Times New Roman"/>
          <w:b/>
          <w:i w:val="false"/>
          <w:color w:val="000000"/>
          <w:sz w:val="22"/>
        </w:rPr>
        <w:t xml:space="preserve">(257) </w:t>
      </w:r>
      <w:r>
        <w:rPr>
          <w:rFonts w:ascii="Times New Roman" w:hAnsi="Times New Roman"/>
          <w:b/>
          <w:i w:val="false"/>
          <w:color w:val="000000"/>
          <w:sz w:val="22"/>
        </w:rPr>
        <w:t xml:space="preserve">Special education administrative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When a school district presents evidence of unusual circumstances that would justify charging administrative costs to the special education program, the committee may authorize such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The committee shall use the following criteria in evaluating the evidence presented by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district has a separate facility for special education which has a sufficient student population to warrant a certified special education administrator. In this case, the district, after it has received approval from the SBRC, may bill the prorated cost to other resident districts as well as include the prorated portion related to its own resident students in the special education program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school district has one or more private facilities located within the district with a sufficient special education student population that is served by the district. In this case, the district, after it has received approval from the SBRC, may include the lower of the prorated actual administrative costs or the prorated approved administrative costs in the billing to other resident districts in proportion to each district’s resident students in the program, but shall not include the prorated portion related to its own resident students in the special education program expenditures.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0088C</w:t>
      </w:r>
      <w:r>
        <w:rPr>
          <w:rFonts w:ascii="Times New Roman" w:hAnsi="Times New Roman"/>
          <w:b w:val="false"/>
          <w:i w:val="false"/>
          <w:color w:val="000000"/>
          <w:sz w:val="16"/>
        </w:rPr>
        <w:t>, IAB 4/18/12, effective 5/23/12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289—6.10</w:t>
      </w:r>
      <w:r>
        <w:rPr>
          <w:rFonts w:ascii="Times New Roman" w:hAnsi="Times New Roman"/>
          <w:b/>
          <w:i w:val="false"/>
          <w:color w:val="000000"/>
          <w:sz w:val="22"/>
        </w:rPr>
        <w:t xml:space="preserve">(257) </w:t>
      </w:r>
      <w:r>
        <w:rPr>
          <w:rFonts w:ascii="Times New Roman" w:hAnsi="Times New Roman"/>
          <w:b/>
          <w:i w:val="false"/>
          <w:color w:val="000000"/>
          <w:sz w:val="22"/>
        </w:rPr>
        <w:t xml:space="preserve">Area education agency budget review. </w:t>
      </w:r>
      <w:r>
        <w:rPr>
          <w:rFonts w:ascii="Times New Roman" w:hAnsi="Times New Roman"/>
          <w:b w:val="false"/>
          <w:i w:val="false"/>
          <w:color w:val="000000"/>
          <w:sz w:val="22"/>
        </w:rPr>
        <w:t>Year-end special education support services assigned and unassigned fund balances exceeding 10 percent of the special education support services expenditures for that fiscal year may be reverted and reduced to 10 percent. The AEA shall report the necessary information for this calculation on its certified annual report to the department. The committee shall review the recommended reversion calculated by the department of education and shall make a recommendation to the department regarding final amounts to be reverted. The components of fund balances shall be determined in compliance with department of education guidance and GAAP.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0088C</w:t>
      </w:r>
      <w:r>
        <w:rPr>
          <w:rFonts w:ascii="Times New Roman" w:hAnsi="Times New Roman"/>
          <w:b w:val="false"/>
          <w:i w:val="false"/>
          <w:color w:val="000000"/>
          <w:sz w:val="16"/>
        </w:rPr>
        <w:t>, IAB 4/18/12, effective 5/23/12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4">
        <w:r>
          <w:rPr>
            <w:rStyle w:val="Hyperlink"/>
            <w:rFonts w:ascii="Times New Roman" w:hAnsi="Times New Roman"/>
            <w:b w:val="false"/>
            <w:i w:val="false"/>
            <w:color w:val="000000"/>
            <w:sz w:val="22"/>
          </w:rPr>
          <w:t>257.30</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257.32</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257.40</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298.10</w:t>
        </w:r>
      </w:hyperlink>
      <w:r>
        <w:rPr>
          <w:rFonts w:ascii="Times New Roman" w:hAnsi="Times New Roman"/>
          <w:b w:val="false"/>
          <w:i w:val="false"/>
          <w:color w:val="000000"/>
          <w:sz w:val="22"/>
        </w:rPr>
        <w:t xml:space="preserve"> and chapter </w:t>
      </w:r>
      <w:hyperlink r:id="rId2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3/17/78, Notice 9/21/77—published 4/5/78, effective 5/10/78]</w:t>
      </w:r>
    </w:p>
    <w:p>
      <w:pPr>
        <w:spacing w:before="0" w:after="0"/>
        <w:ind w:left="120"/>
        <w:jc w:val="center"/>
      </w:pPr>
      <w:r>
        <w:rPr>
          <w:rFonts w:ascii="Times New Roman" w:hAnsi="Times New Roman"/>
          <w:b w:val="false"/>
          <w:i w:val="false"/>
          <w:color w:val="000000"/>
          <w:sz w:val="21"/>
        </w:rPr>
        <w:t>[Filed 11/23/88, Notice 6/1/88—published 12/14/88, effective 1/18/89]</w:t>
      </w:r>
    </w:p>
    <w:p>
      <w:pPr>
        <w:spacing w:before="0" w:after="0"/>
        <w:ind w:left="120"/>
        <w:jc w:val="center"/>
      </w:pPr>
      <w:r>
        <w:rPr>
          <w:rFonts w:ascii="Times New Roman" w:hAnsi="Times New Roman"/>
          <w:b w:val="false"/>
          <w:i w:val="false"/>
          <w:color w:val="000000"/>
          <w:sz w:val="21"/>
        </w:rPr>
        <w:t>[Filed emergency 9/28/90—published 10/17/90, effective 9/28/90]</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[Filed 1/13/06, Notice 12/7/05—published 2/1/06, effective 3/8/06]</w:t>
      </w:r>
    </w:p>
    <w:p>
      <w:pPr>
        <w:spacing w:before="0" w:after="0"/>
        <w:ind w:left="120"/>
        <w:jc w:val="center"/>
      </w:pPr>
      <w:r>
        <w:rPr>
          <w:rFonts w:ascii="Times New Roman" w:hAnsi="Times New Roman"/>
          <w:b w:val="false"/>
          <w:i w:val="false"/>
          <w:color w:val="000000"/>
          <w:sz w:val="21"/>
        </w:rPr>
        <w:t>[Filed ARC 9322B</w:t>
      </w:r>
      <w:r>
        <w:rPr>
          <w:rFonts w:ascii="Times New Roman" w:hAnsi="Times New Roman"/>
          <w:b w:val="false"/>
          <w:i w:val="false"/>
          <w:color w:val="000000"/>
          <w:sz w:val="21"/>
        </w:rPr>
        <w:t xml:space="preserve"> (Notice ARC 9124B, IAB 10/6/10)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0088C</w:t>
      </w:r>
      <w:r>
        <w:rPr>
          <w:rFonts w:ascii="Times New Roman" w:hAnsi="Times New Roman"/>
          <w:b w:val="false"/>
          <w:i w:val="false"/>
          <w:color w:val="000000"/>
          <w:sz w:val="21"/>
        </w:rPr>
        <w:t xml:space="preserve"> (Notice ARC 9818B, IAB 11/2/11)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4782C</w:t>
      </w:r>
      <w:r>
        <w:rPr>
          <w:rFonts w:ascii="Times New Roman" w:hAnsi="Times New Roman"/>
          <w:b w:val="false"/>
          <w:i w:val="false"/>
          <w:color w:val="000000"/>
          <w:sz w:val="21"/>
        </w:rPr>
        <w:t xml:space="preserve"> (Notice ARC 4604C, IAB 8/14/19)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5546C</w:t>
      </w:r>
      <w:r>
        <w:rPr>
          <w:rFonts w:ascii="Times New Roman" w:hAnsi="Times New Roman"/>
          <w:b w:val="false"/>
          <w:i w:val="false"/>
          <w:color w:val="000000"/>
          <w:sz w:val="21"/>
        </w:rPr>
        <w:t xml:space="preserve"> (Notice ARC 5401C, IAB 1/27/21)</w:t>
      </w:r>
      <w:r>
        <w:rPr>
          <w:rFonts w:ascii="Times New Roman" w:hAnsi="Times New Roman"/>
          <w:b w:val="false"/>
          <w:i w:val="false"/>
          <w:color w:val="000000"/>
          <w:sz w:val="21"/>
        </w:rPr>
        <w:t>, IAB 4/7/21, effective 5/12/21]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3.pdf" Type="http://schemas.openxmlformats.org/officeDocument/2006/relationships/hyperlink" Id="rId5"/>
    <Relationship TargetMode="External" Target="https://www.legis.iowa.gov/docs/ico/chapter/24.pdf" Type="http://schemas.openxmlformats.org/officeDocument/2006/relationships/hyperlink" Id="rId6"/>
    <Relationship TargetMode="External" Target="https://www.legis.iowa.gov/docs/ico/chapter/260C.pdf" Type="http://schemas.openxmlformats.org/officeDocument/2006/relationships/hyperlink" Id="rId7"/>
    <Relationship TargetMode="External" Target="https://www.legis.iowa.gov/docs/ico/chapter/257.3.pdf" Type="http://schemas.openxmlformats.org/officeDocument/2006/relationships/hyperlink" Id="rId8"/>
    <Relationship TargetMode="External" Target="https://www.legis.iowa.gov/docs/ico/chapter/257.4.pdf" Type="http://schemas.openxmlformats.org/officeDocument/2006/relationships/hyperlink" Id="rId9"/>
    <Relationship TargetMode="External" Target="https://www.legis.iowa.gov/docs/ico/chapter/274.pdf" Type="http://schemas.openxmlformats.org/officeDocument/2006/relationships/hyperlink" Id="rId10"/>
    <Relationship TargetMode="External" Target="https://www.legis.iowa.gov/docs/iac/rule/289.6.3.pdf" Type="http://schemas.openxmlformats.org/officeDocument/2006/relationships/hyperlink" Id="rId11"/>
    <Relationship TargetMode="External" Target="https://www.legis.iowa.gov/docs/iac/rule/289.6.3.pdf" Type="http://schemas.openxmlformats.org/officeDocument/2006/relationships/hyperlink" Id="rId12"/>
    <Relationship TargetMode="External" Target="https://www.legis.iowa.gov/docs/iac/rule/289.6.3.pdf" Type="http://schemas.openxmlformats.org/officeDocument/2006/relationships/hyperlink" Id="rId13"/>
    <Relationship TargetMode="External" Target="https://www.legis.iowa.gov/docs/iac/rule/289.6.3.pdf" Type="http://schemas.openxmlformats.org/officeDocument/2006/relationships/hyperlink" Id="rId14"/>
    <Relationship TargetMode="External" Target="https://www.legis.iowa.gov/docs/iac/rule/289.6.3.pdf" Type="http://schemas.openxmlformats.org/officeDocument/2006/relationships/hyperlink" Id="rId15"/>
    <Relationship TargetMode="External" Target="https://www.legis.iowa.gov/docs/iac/rule/289.6.3.pdf" Type="http://schemas.openxmlformats.org/officeDocument/2006/relationships/hyperlink" Id="rId16"/>
    <Relationship TargetMode="External" Target="https://www.legis.iowa.gov/docs/ico/chapter/257.pdf" Type="http://schemas.openxmlformats.org/officeDocument/2006/relationships/hyperlink" Id="rId17"/>
    <Relationship TargetMode="External" Target="https://www.legis.iowa.gov/docs/ico/chapter/257.31.pdf" Type="http://schemas.openxmlformats.org/officeDocument/2006/relationships/hyperlink" Id="rId18"/>
    <Relationship TargetMode="External" Target="https://www.legis.iowa.gov/docs/ico/chapter/257.31.pdf" Type="http://schemas.openxmlformats.org/officeDocument/2006/relationships/hyperlink" Id="rId19"/>
    <Relationship TargetMode="External" Target="https://www.legis.iowa.gov/docs/ico/chapter/257.31.pdf" Type="http://schemas.openxmlformats.org/officeDocument/2006/relationships/hyperlink" Id="rId20"/>
    <Relationship TargetMode="External" Target="https://www.legis.iowa.gov/docs/ico/chapter/298.10.pdf" Type="http://schemas.openxmlformats.org/officeDocument/2006/relationships/hyperlink" Id="rId21"/>
    <Relationship TargetMode="External" Target="https://www.legis.iowa.gov/docs/iac/rule/289.6.5.pdf" Type="http://schemas.openxmlformats.org/officeDocument/2006/relationships/hyperlink" Id="rId22"/>
    <Relationship TargetMode="External" Target="https://www.legis.iowa.gov/docs/ico/chapter/280.15.pdf" Type="http://schemas.openxmlformats.org/officeDocument/2006/relationships/hyperlink" Id="rId23"/>
    <Relationship TargetMode="External" Target="https://www.legis.iowa.gov/docs/ico/chapter/257.30.pdf" Type="http://schemas.openxmlformats.org/officeDocument/2006/relationships/hyperlink" Id="rId24"/>
    <Relationship TargetMode="External" Target="https://www.legis.iowa.gov/docs/ico/chapter/257.31.pdf" Type="http://schemas.openxmlformats.org/officeDocument/2006/relationships/hyperlink" Id="rId25"/>
    <Relationship TargetMode="External" Target="https://www.legis.iowa.gov/docs/ico/chapter/257.32.pdf" Type="http://schemas.openxmlformats.org/officeDocument/2006/relationships/hyperlink" Id="rId26"/>
    <Relationship TargetMode="External" Target="https://www.legis.iowa.gov/docs/ico/chapter/257.40.pdf" Type="http://schemas.openxmlformats.org/officeDocument/2006/relationships/hyperlink" Id="rId27"/>
    <Relationship TargetMode="External" Target="https://www.legis.iowa.gov/docs/ico/chapter/298.10.pdf" Type="http://schemas.openxmlformats.org/officeDocument/2006/relationships/hyperlink" Id="rId28"/>
    <Relationship TargetMode="External" Target="https://www.legis.iowa.gov/docs/ico/chapter/260C.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