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PUBLIC RECORDS AND</w:t>
      </w:r>
      <w:r>
        <w:br/>
      </w:r>
      <w:r>
        <w:rPr>
          <w:rFonts w:ascii="Times New Roman" w:hAnsi="Times New Roman"/>
          <w:b w:val="false"/>
          <w:i w:val="false"/>
          <w:color w:val="000000"/>
          <w:sz w:val="21"/>
        </w:rPr>
        <w:t>FAIR INFORMATION PRACTICES</w:t>
      </w:r>
    </w:p>
    <w:p>
      <w:pPr>
        <w:spacing w:before="0" w:after="0"/>
        <w:ind w:left="120"/>
        <w:jc w:val="center"/>
      </w:pPr>
      <w:r>
        <w:rPr>
          <w:rFonts w:ascii="Times New Roman" w:hAnsi="Times New Roman"/>
          <w:b w:val="false"/>
          <w:i w:val="false"/>
          <w:color w:val="000000"/>
          <w:sz w:val="14"/>
        </w:rPr>
        <w:t>[Prior to 10/17/90, see School Budget Review, 289—1.7(442, 22)]</w:t>
      </w:r>
      <w:r>
        <w:br/>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The school budget review committee hereby adopts, with the following exceptions and amendments, the Uniform Administrative Rules relating to public records and fair information practices which are printed in the first Volume of the Iowa Administrative Code.</w:t>
      </w:r>
    </w:p>
    <w:p>
      <w:pPr>
        <w:spacing w:before="0" w:after="0"/>
        <w:ind w:left="120"/>
        <w:jc w:val="both"/>
      </w:pPr>
      <w:r>
        <w:rPr>
          <w:rFonts w:ascii="Times New Roman" w:hAnsi="Times New Roman"/>
          <w:b/>
          <w:i w:val="false"/>
          <w:color w:val="000000"/>
          <w:sz w:val="22"/>
        </w:rPr>
        <w:t>289—5.1</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In lieu of the words “(official or body issuing these rules)”, insert “school budget review committee”.</w:t>
      </w:r>
    </w:p>
    <w:p>
      <w:pPr>
        <w:spacing w:before="0" w:after="0"/>
        <w:ind w:left="120"/>
        <w:jc w:val="both"/>
      </w:pPr>
      <w:r>
        <w:rPr>
          <w:rFonts w:ascii="Times New Roman" w:hAnsi="Times New Roman"/>
          <w:b/>
          <w:i w:val="false"/>
          <w:color w:val="000000"/>
          <w:sz w:val="22"/>
        </w:rPr>
        <w:t>289—5.3</w:t>
      </w:r>
      <w:r>
        <w:rPr>
          <w:rFonts w:ascii="Times New Roman" w:hAnsi="Times New Roman"/>
          <w:b/>
          <w:i w:val="false"/>
          <w:color w:val="000000"/>
          <w:sz w:val="22"/>
        </w:rPr>
        <w:t xml:space="preserve">(17A)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In lieu of the words “(insert agency head)”, insert “chairperson of the committee”. In lieu of the words “(insert agency name and address)”, insert “School Budget Review Committee, Grimes State Office Building, 400 E. 14th Street, Des Moines, Iowa 50319-0146”.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 xml:space="preserve">In lieu of the words “(insert customary hours and, if agency does not have customary office hours of at least thirty hours per week, insert hours specified in Iowa Code section </w:t>
      </w:r>
      <w:hyperlink r:id="rId5">
        <w:r>
          <w:rPr>
            <w:rStyle w:val="Hyperlink"/>
            <w:rFonts w:ascii="Times New Roman" w:hAnsi="Times New Roman"/>
            <w:b w:val="false"/>
            <w:i w:val="false"/>
            <w:color w:val="000000"/>
            <w:sz w:val="22"/>
          </w:rPr>
          <w:t>22.4</w:t>
        </w:r>
      </w:hyperlink>
      <w:r>
        <w:rPr>
          <w:rFonts w:ascii="Times New Roman" w:hAnsi="Times New Roman"/>
          <w:b w:val="false"/>
          <w:i w:val="false"/>
          <w:color w:val="000000"/>
          <w:sz w:val="22"/>
        </w:rPr>
        <w:t>)”, insert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daily, excluding Saturdays, Sundays, and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Supervisory fee. </w:t>
      </w:r>
      <w:r>
        <w:rPr>
          <w:rFonts w:ascii="Times New Roman" w:hAnsi="Times New Roman"/>
          <w:b w:val="false"/>
          <w:i w:val="false"/>
          <w:color w:val="000000"/>
          <w:sz w:val="22"/>
        </w:rPr>
        <w:t>In lieu of the words “(specify time period)”, insert “one-half hour”. In lieu of the words “An agency wishing to deal with search fees authorized by law should do so here”, insert “The committee will give advance notice to the requester if it will be necessary to use an employee with a higher hourly wage in order to find or supervise the particular records in question, and shall indicate the amount of that higher hourly wage to the requester.”</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10/6/10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289—5.6</w:t>
      </w:r>
      <w:r>
        <w:rPr>
          <w:rFonts w:ascii="Times New Roman" w:hAnsi="Times New Roman"/>
          <w:b/>
          <w:i w:val="false"/>
          <w:color w:val="000000"/>
          <w:sz w:val="22"/>
        </w:rPr>
        <w:t xml:space="preserve">(17A)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In lieu of the words “(designate office)”, insert “the office of the chairperson of this committee”.</w:t>
      </w:r>
    </w:p>
    <w:p>
      <w:pPr>
        <w:spacing w:before="210" w:after="0"/>
        <w:ind w:left="120"/>
        <w:jc w:val="both"/>
      </w:pPr>
      <w:r>
        <w:rPr>
          <w:rFonts w:ascii="Times New Roman" w:hAnsi="Times New Roman"/>
          <w:b/>
          <w:i w:val="false"/>
          <w:color w:val="000000"/>
          <w:sz w:val="22"/>
        </w:rPr>
        <w:t>289—5.9</w:t>
      </w:r>
      <w:r>
        <w:rPr>
          <w:rFonts w:ascii="Times New Roman" w:hAnsi="Times New Roman"/>
          <w:b/>
          <w:i w:val="false"/>
          <w:color w:val="000000"/>
          <w:sz w:val="22"/>
        </w:rPr>
        <w:t xml:space="preserve">(17A) </w:t>
      </w:r>
      <w:r>
        <w:rPr>
          <w:rFonts w:ascii="Times New Roman" w:hAnsi="Times New Roman"/>
          <w:b/>
          <w:i w:val="false"/>
          <w:color w:val="000000"/>
          <w:sz w:val="22"/>
        </w:rPr>
        <w:t xml:space="preserve">Disclosures without the consent of the subject. </w:t>
      </w:r>
      <w:r>
        <w:rPr>
          <w:rFonts w:ascii="Times New Roman" w:hAnsi="Times New Roman"/>
          <w:b w:val="false"/>
          <w:i w:val="false"/>
          <w:color w:val="000000"/>
          <w:sz w:val="22"/>
        </w:rPr>
        <w:t>Open records are routinely disclosed without the consent of the subject.</w:t>
      </w:r>
    </w:p>
    <w:p>
      <w:pPr>
        <w:spacing w:before="0" w:after="0"/>
        <w:ind w:left="120"/>
        <w:jc w:val="both"/>
      </w:pPr>
      <w:r>
        <w:rPr>
          <w:rFonts w:ascii="Times New Roman" w:hAnsi="Times New Roman"/>
          <w:b/>
          <w:i w:val="false"/>
          <w:color w:val="000000"/>
          <w:sz w:val="22"/>
        </w:rPr>
        <w:t>289—5.10</w:t>
      </w:r>
      <w:r>
        <w:rPr>
          <w:rFonts w:ascii="Times New Roman" w:hAnsi="Times New Roman"/>
          <w:b/>
          <w:i w:val="false"/>
          <w:color w:val="000000"/>
          <w:sz w:val="22"/>
        </w:rPr>
        <w:t xml:space="preserve">(17A) </w:t>
      </w:r>
      <w:r>
        <w:rPr>
          <w:rFonts w:ascii="Times New Roman" w:hAnsi="Times New Roman"/>
          <w:b/>
          <w:i w:val="false"/>
          <w:color w:val="000000"/>
          <w:sz w:val="22"/>
        </w:rPr>
        <w:t xml:space="preserve">Routine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5.10(1)</w:t>
      </w:r>
      <w:r>
        <w:rPr>
          <w:rFonts w:ascii="Times New Roman" w:hAnsi="Times New Roman"/>
          <w:b w:val="false"/>
          <w:i w:val="false"/>
          <w:color w:val="000000"/>
          <w:sz w:val="22"/>
        </w:rPr>
        <w:t> </w:t>
      </w:r>
      <w:r>
        <w:rPr>
          <w:rFonts w:ascii="Times New Roman" w:hAnsi="Times New Roman"/>
          <w:b w:val="false"/>
          <w:i w:val="false"/>
          <w:color w:val="000000"/>
          <w:sz w:val="22"/>
        </w:rPr>
        <w:t xml:space="preserve">“Routine use” means the disclosure of a record without the consent of the subject or subjects, for a purpose for which the record was collected. It includes disclosures required to be made by statute other than public records law, Iowa Code chapter </w:t>
      </w:r>
      <w:hyperlink r:id="rId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the following uses are considered routine uses of all committee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to those members of the committee who have a need for the record in the performance of their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and state entities for audit purposes or to determine whether the agency is operating a program lawfully.</w:t>
      </w:r>
    </w:p>
    <w:p>
      <w:pPr>
        <w:spacing w:before="210" w:after="0"/>
        <w:ind w:left="120"/>
        <w:jc w:val="both"/>
      </w:pPr>
      <w:r>
        <w:rPr>
          <w:rFonts w:ascii="Times New Roman" w:hAnsi="Times New Roman"/>
          <w:b/>
          <w:i w:val="false"/>
          <w:color w:val="000000"/>
          <w:sz w:val="22"/>
        </w:rPr>
        <w:t>289—5.11</w:t>
      </w:r>
      <w:r>
        <w:rPr>
          <w:rFonts w:ascii="Times New Roman" w:hAnsi="Times New Roman"/>
          <w:b/>
          <w:i w:val="false"/>
          <w:color w:val="000000"/>
          <w:sz w:val="22"/>
        </w:rPr>
        <w:t xml:space="preserve">(17A) </w:t>
      </w:r>
      <w:r>
        <w:rPr>
          <w:rFonts w:ascii="Times New Roman" w:hAnsi="Times New Roman"/>
          <w:b/>
          <w:i w:val="false"/>
          <w:color w:val="000000"/>
          <w:sz w:val="22"/>
        </w:rPr>
        <w:t xml:space="preserve">Availability of records. </w:t>
      </w:r>
      <w:r>
        <w:rPr>
          <w:rFonts w:ascii="Times New Roman" w:hAnsi="Times New Roman"/>
          <w:b w:val="false"/>
          <w:i w:val="false"/>
          <w:color w:val="000000"/>
          <w:sz w:val="22"/>
        </w:rPr>
        <w:t>Agency records are open for public inspection and copying unless otherwise provided by rule or law.</w:t>
      </w:r>
    </w:p>
    <w:p>
      <w:pPr>
        <w:spacing w:before="210" w:after="0"/>
        <w:ind w:left="120"/>
        <w:jc w:val="both"/>
      </w:pPr>
      <w:r>
        <w:rPr>
          <w:rFonts w:ascii="Times New Roman" w:hAnsi="Times New Roman"/>
          <w:b/>
          <w:i w:val="false"/>
          <w:color w:val="000000"/>
          <w:sz w:val="22"/>
        </w:rPr>
        <w:t>289—5.12</w:t>
      </w:r>
      <w:r>
        <w:rPr>
          <w:rFonts w:ascii="Times New Roman" w:hAnsi="Times New Roman"/>
          <w:b/>
          <w:i w:val="false"/>
          <w:color w:val="000000"/>
          <w:sz w:val="22"/>
        </w:rPr>
        <w:t xml:space="preserve">(17A) </w:t>
      </w:r>
      <w:r>
        <w:rPr>
          <w:rFonts w:ascii="Times New Roman" w:hAnsi="Times New Roman"/>
          <w:b/>
          <w:i w:val="false"/>
          <w:color w:val="000000"/>
          <w:sz w:val="22"/>
        </w:rPr>
        <w:t xml:space="preserve">Rule-making records. </w:t>
      </w:r>
      <w:r>
        <w:rPr>
          <w:rFonts w:ascii="Times New Roman" w:hAnsi="Times New Roman"/>
          <w:b w:val="false"/>
          <w:i w:val="false"/>
          <w:color w:val="000000"/>
          <w:sz w:val="22"/>
        </w:rPr>
        <w:t xml:space="preserve">These records are routinely available to the public and may contain information about individuals making written or oral comments on proposed rules or proposing rules or rule amendments. This information is collected pursuant to Iowa Code sections </w:t>
      </w:r>
      <w:hyperlink r:id="rId7">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These records are stored on paper and not in an automated data processing system.</w:t>
      </w:r>
    </w:p>
    <w:p>
      <w:pPr>
        <w:spacing w:before="210" w:after="0"/>
        <w:ind w:left="120"/>
        <w:jc w:val="both"/>
      </w:pPr>
      <w:r>
        <w:rPr>
          <w:rFonts w:ascii="Times New Roman" w:hAnsi="Times New Roman"/>
          <w:b/>
          <w:i w:val="false"/>
          <w:color w:val="000000"/>
          <w:sz w:val="22"/>
        </w:rPr>
        <w:t>289—5.13</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does not require the agency to index or retrieve records which contain information about individuals by that person’s name or other personal identifier.</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17A.22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9/16/88—published 10/5/88, effective 9/16/88]</w:t>
      </w:r>
    </w:p>
    <w:p>
      <w:pPr>
        <w:spacing w:before="0" w:after="0"/>
        <w:ind w:left="120"/>
        <w:jc w:val="center"/>
      </w:pPr>
      <w:r>
        <w:rPr>
          <w:rFonts w:ascii="Times New Roman" w:hAnsi="Times New Roman"/>
          <w:b w:val="false"/>
          <w:i w:val="false"/>
          <w:color w:val="000000"/>
          <w:sz w:val="21"/>
        </w:rPr>
        <w:t>[Filed 12/9/88, Notice 10/5/88—published 12/28/88, effective 2/1/89]</w:t>
      </w:r>
    </w:p>
    <w:p>
      <w:pPr>
        <w:spacing w:before="0" w:after="0"/>
        <w:ind w:left="120"/>
        <w:jc w:val="center"/>
      </w:pPr>
      <w:r>
        <w:rPr>
          <w:rFonts w:ascii="Times New Roman" w:hAnsi="Times New Roman"/>
          <w:b w:val="false"/>
          <w:i w:val="false"/>
          <w:color w:val="000000"/>
          <w:sz w:val="21"/>
        </w:rPr>
        <w:t>[Filed emergency 9/28/90—published 10/17/90, effective 9/28/90]</w:t>
      </w:r>
    </w:p>
    <w:p>
      <w:pPr>
        <w:spacing w:before="0" w:after="0"/>
        <w:ind w:left="120"/>
        <w:jc w:val="center"/>
      </w:pPr>
      <w:r>
        <w:rPr>
          <w:rFonts w:ascii="Times New Roman" w:hAnsi="Times New Roman"/>
          <w:b w:val="false"/>
          <w:i w:val="false"/>
          <w:color w:val="000000"/>
          <w:sz w:val="21"/>
        </w:rPr>
        <w:t>[Filed 12/21/90, Notice 10/17/90—published 1/9/91, effective 2/13/91]</w:t>
      </w:r>
    </w:p>
    <w:p>
      <w:pPr>
        <w:spacing w:before="0" w:after="0"/>
        <w:ind w:left="120"/>
        <w:jc w:val="center"/>
      </w:pPr>
      <w:r>
        <w:rPr>
          <w:rFonts w:ascii="Times New Roman" w:hAnsi="Times New Roman"/>
          <w:b w:val="false"/>
          <w:i w:val="false"/>
          <w:color w:val="000000"/>
          <w:sz w:val="21"/>
        </w:rPr>
        <w:t>[Editorial change: IAC Supplement 10/6/10]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4.pdf" Type="http://schemas.openxmlformats.org/officeDocument/2006/relationships/hyperlink" Id="rId5"/>
    <Relationship TargetMode="External" Target="https://www.legis.iowa.gov/docs/ico/chapter/22.pdf" Type="http://schemas.openxmlformats.org/officeDocument/2006/relationships/hyperlink" Id="rId6"/>
    <Relationship TargetMode="External" Target="https://www.legis.iowa.gov/docs/ico/chapter/17A.3.pdf" Type="http://schemas.openxmlformats.org/officeDocument/2006/relationships/hyperlink" Id="rId7"/>
    <Relationship TargetMode="External" Target="https://www.legis.iowa.gov/docs/ico/chapter/17A.4.pdf" Type="http://schemas.openxmlformats.org/officeDocument/2006/relationships/hyperlink" Id="rId8"/>
    <Relationship TargetMode="External" Target="https://www.legis.iowa.gov/docs/ico/chapter/17A.7.pdf" Type="http://schemas.openxmlformats.org/officeDocument/2006/relationships/hyperlink" Id="rId9"/>
    <Relationship TargetMode="External" Target="https://www.legis.iowa.gov/docs/ico/chapter/17A.22.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