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RULINGS</w:t>
      </w:r>
    </w:p>
    <w:p>
      <w:pPr>
        <w:spacing w:before="0" w:after="0"/>
        <w:ind w:left="120"/>
        <w:jc w:val="center"/>
      </w:pPr>
      <w:r>
        <w:rPr>
          <w:rFonts w:ascii="Times New Roman" w:hAnsi="Times New Roman"/>
          <w:b w:val="false"/>
          <w:i w:val="false"/>
          <w:color w:val="000000"/>
          <w:sz w:val="14"/>
        </w:rPr>
        <w:t>[Prior to 10/17/90, see School Budget Review, 289—1.5(442)]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school budget review committee hereby adopts the declaratory rulings segment of the Uniform Administrative Rules which is printed in the first Volume of the Iowa Administrative Code with the following amendments:</w:t>
      </w:r>
    </w:p>
    <w:p>
      <w:pPr>
        <w:spacing w:before="0" w:after="0"/>
        <w:ind w:left="120"/>
        <w:jc w:val="both"/>
      </w:pPr>
      <w:r>
        <w:rPr>
          <w:rFonts w:ascii="Times New Roman" w:hAnsi="Times New Roman"/>
          <w:b/>
          <w:i w:val="false"/>
          <w:color w:val="000000"/>
          <w:sz w:val="22"/>
        </w:rPr>
        <w:t>289—3.1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ruling. </w:t>
      </w:r>
      <w:r>
        <w:rPr>
          <w:rFonts w:ascii="Times New Roman" w:hAnsi="Times New Roman"/>
          <w:b w:val="false"/>
          <w:i w:val="false"/>
          <w:color w:val="000000"/>
          <w:sz w:val="22"/>
        </w:rPr>
        <w:t>In lieu of the words “(designate office)”, insert “the School Budget Review Committee, Grimes State Office Building, 400 E. 14th Street, Des Moines, Iowa 50319-0146”. In lieu of the words “(AGENCY NAME)”, the heading on the petition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“SCHOOL BUDGET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289—3.3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“Chairperson, School Budget Review Committee, Grimes State Office Building, 400 E.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10/6/10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3/17/78, Notice 9/21/77—published 4/5/78, effective 5/10/78]</w:t>
      </w:r>
    </w:p>
    <w:p>
      <w:pPr>
        <w:spacing w:before="0" w:after="0"/>
        <w:ind w:left="120"/>
        <w:jc w:val="center"/>
      </w:pPr>
      <w:r>
        <w:rPr>
          <w:rFonts w:ascii="Times New Roman" w:hAnsi="Times New Roman"/>
          <w:b w:val="false"/>
          <w:i w:val="false"/>
          <w:color w:val="000000"/>
          <w:sz w:val="21"/>
        </w:rPr>
        <w:t>[Filed 11/23/88, Notice 6/1/88—published 12/14/88, effective 1/18/89]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[Editorial change: IAC Supplement 10/6/10]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