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282—6.2</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board may grant a waiver of any administrative rule if the waiver is consistent with Iowa Code section </w:t>
      </w:r>
      <w:hyperlink r:id="rId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filed pursuant to this chapter, the board may in its sole discretion issue an order waiving in whole or in part the requirements of a rule if the board finds, based on clear and convincing evidence, that all of the factors listed in Iowa Code section </w:t>
      </w:r>
      <w:hyperlink r:id="rId7">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will be submitted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License, certificate, or authorization application. </w:t>
      </w:r>
      <w:r>
        <w:rPr>
          <w:rFonts w:ascii="Times New Roman" w:hAnsi="Times New Roman"/>
          <w:b w:val="false"/>
          <w:i w:val="false"/>
          <w:color w:val="000000"/>
          <w:sz w:val="22"/>
        </w:rPr>
        <w:t>If the petition relates to an application, the petition will be made in accordance with the filing requirements for the application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will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certificate, or authorization application or a pending contested case, the petition may be submitted to the board’s executive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will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entity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the criteria described in Iowa Code section </w:t>
      </w:r>
      <w:hyperlink r:id="rId8">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is to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and the petitioner relating to the regulated activity, license, or authorization affected by the proposed waiver, including a description of each affected license or authorization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282—6.6</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board’s executive director,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282—6.7</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upon receipt and ensure that, within 30 days of the receipt of the petition, notice of the pendency of the petition and a concise summary of its contents have been provided to all persons to whom notice is necessary by any provision of law.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in three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val="false"/>
          <w:color w:val="000000"/>
          <w:sz w:val="22"/>
        </w:rPr>
        <w:t xml:space="preserve">To any petition for a waiver filed within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provided by rule or order, 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val="false"/>
          <w:color w:val="000000"/>
          <w:sz w:val="22"/>
        </w:rPr>
        <w:t>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282—6.9</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will contain a reference to the particular person and rule or portion thereof to which the order pertains, a statement of the relevant facts and reasons upon which the action is based, and a description of the precise scope and operative period of any waiver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final decision on whether the circumstances justify the granting of a waiver is in the sole discretion of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standards. </w:t>
      </w:r>
      <w:r>
        <w:rPr>
          <w:rFonts w:ascii="Times New Roman" w:hAnsi="Times New Roman"/>
          <w:b w:val="false"/>
          <w:i w:val="false"/>
          <w:color w:val="000000"/>
          <w:sz w:val="22"/>
        </w:rPr>
        <w:t xml:space="preserve">The board applies the standards and burdens in Iowa Code section </w:t>
      </w:r>
      <w:hyperlink r:id="rId10">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will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practicable but, in any event, within 120 days of its receipt unless the petitioner agrees to a later date. However, if a petition is filed in a contested case, the board will grant or deny the petition no later than the time at which the final decision in that contested case is issued. Failure of the board to grant or deny a petition within the required time period is deemed a denial of that petition by the board. However, the board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is to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282—6.10</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The board will comply with the public availability and filing procedures of Iowa Code section </w:t>
      </w:r>
      <w:hyperlink r:id="rId11">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282—6.11</w:t>
      </w:r>
      <w:r>
        <w:rPr>
          <w:rFonts w:ascii="Times New Roman" w:hAnsi="Times New Roman"/>
          <w:b/>
          <w:i w:val="false"/>
          <w:color w:val="000000"/>
          <w:sz w:val="22"/>
        </w:rPr>
        <w:t xml:space="preserve">(17A) </w:t>
      </w:r>
      <w:r>
        <w:rPr>
          <w:rFonts w:ascii="Times New Roman" w:hAnsi="Times New Roman"/>
          <w:b/>
          <w:i w:val="false"/>
          <w:color w:val="000000"/>
          <w:sz w:val="22"/>
        </w:rPr>
        <w:t xml:space="preserve">After issuance of a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waiver issued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conditions in the waiver approval is the equivalent of a violation of the particular rule for which the waiver is granted. As a result,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8805C</w:t>
      </w:r>
      <w:r>
        <w:rPr>
          <w:rFonts w:ascii="Times New Roman" w:hAnsi="Times New Roman"/>
          <w:b w:val="false"/>
          <w:i w:val="false"/>
          <w:color w:val="000000"/>
          <w:sz w:val="21"/>
        </w:rPr>
        <w:t xml:space="preserve"> (Notice ARC 8287C,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10-18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