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 xml:space="preserve"> AGENCY PROCEDURES AND PETITIONS FOR RULEMAKING</w:t>
      </w:r>
    </w:p>
    <w:p>
      <w:pPr>
        <w:spacing w:before="0" w:after="0"/>
        <w:ind w:left="120"/>
        <w:jc w:val="center"/>
      </w:pPr>
      <w:r>
        <w:rPr>
          <w:rFonts w:ascii="Times New Roman" w:hAnsi="Times New Roman"/>
          <w:b w:val="false"/>
          <w:i w:val="false"/>
          <w:color w:val="000000"/>
          <w:sz w:val="14"/>
        </w:rPr>
        <w:t>[Prior to 5/16/90, see Professional Teaching Practices Commission[287] Ch 1]</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Iowa board of educational examiners (board) incorporates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deal with rulemaking or petitions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Petitions for rulemaking and inquiries about board rules and the rulemaking process may be directed to Legal Consultant, Iowa Board of Educational Examiners,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may be directed to Legal Consultant, Iowa Board of Educational Examiners, 701 East Court Avenue, Suite A, Des Moines, Iowa 50309, or as directed in the notice of intended action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Petitions for rulemaking. </w:t>
      </w:r>
      <w:r>
        <w:rPr>
          <w:rFonts w:ascii="Times New Roman" w:hAnsi="Times New Roman"/>
          <w:b w:val="false"/>
          <w:i w:val="false"/>
          <w:color w:val="000000"/>
          <w:sz w:val="22"/>
        </w:rPr>
        <w:t>A petition for rulemaking that substantially conforms to the following form will be considered by the board:</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BOARD OF EDUCATIONAL EXAMINERS</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Adoption/Amendment/</w:t>
            </w:r>
          </w:p>
          <w:p>
            <w:pPr>
              <w:spacing w:before="0" w:after="0"/>
              <w:ind w:left="160"/>
              <w:jc w:val="left"/>
            </w:pPr>
            <w:r>
              <w:rPr>
                <w:rFonts w:ascii="Times New Roman" w:hAnsi="Times New Roman"/>
                <w:b w:val="false"/>
                <w:i w:val="false"/>
                <w:color w:val="000000"/>
                <w:sz w:val="16"/>
              </w:rPr>
              <w:t>Repeal of (Cite rule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RULEMAKING</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282—2.3</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submissions. </w:t>
      </w:r>
      <w:r>
        <w:rPr>
          <w:rFonts w:ascii="Times New Roman" w:hAnsi="Times New Roman"/>
          <w:b w:val="false"/>
          <w:i w:val="false"/>
          <w:color w:val="000000"/>
          <w:sz w:val="22"/>
        </w:rPr>
        <w:t>The board encourages electronic submissions of documents under this chapter, including documents bearing electronic signatures.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8801C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section </w:t>
      </w:r>
      <w:hyperlink r:id="rId6">
        <w:r>
          <w:rPr>
            <w:rStyle w:val="Hyperlink"/>
            <w:rFonts w:ascii="Times New Roman" w:hAnsi="Times New Roman"/>
            <w:b w:val="false"/>
            <w:i w:val="false"/>
            <w:color w:val="000000"/>
            <w:sz w:val="22"/>
          </w:rPr>
          <w:t>256.146 </w:t>
        </w:r>
      </w:hyperlink>
      <w:r>
        <w:rPr>
          <w:rFonts w:ascii="Times New Roman" w:hAnsi="Times New Roman"/>
          <w:b w:val="false"/>
          <w:i w:val="false"/>
          <w:color w:val="000000"/>
          <w:sz w:val="22"/>
        </w:rPr>
        <w:t xml:space="preserve">and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10/6/75, Notice 8/25/75—published 10/20/75, effective 11/24/75]</w:t>
      </w:r>
    </w:p>
    <w:p>
      <w:pPr>
        <w:spacing w:before="0" w:after="0"/>
        <w:ind w:left="120"/>
        <w:jc w:val="center"/>
      </w:pPr>
      <w:r>
        <w:rPr>
          <w:rFonts w:ascii="Times New Roman" w:hAnsi="Times New Roman"/>
          <w:b w:val="false"/>
          <w:i w:val="false"/>
          <w:color w:val="000000"/>
          <w:sz w:val="21"/>
        </w:rPr>
        <w:t>[Filed emergency 7/2/86—published 7/30/86, effective 7/2/86]</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8801C</w:t>
      </w:r>
      <w:r>
        <w:rPr>
          <w:rFonts w:ascii="Times New Roman" w:hAnsi="Times New Roman"/>
          <w:b w:val="false"/>
          <w:i w:val="false"/>
          <w:color w:val="000000"/>
          <w:sz w:val="21"/>
        </w:rPr>
        <w:t xml:space="preserve"> (Notice ARC 8283C,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6.146.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