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COMPLAINTS, INVESTIGATIONS, CONTESTED CASE HEARINGS</w:t>
      </w:r>
    </w:p>
    <w:p>
      <w:pPr>
        <w:spacing w:before="0" w:after="0"/>
        <w:ind w:left="120"/>
        <w:jc w:val="center"/>
      </w:pPr>
      <w:r>
        <w:rPr>
          <w:rFonts w:ascii="Times New Roman" w:hAnsi="Times New Roman"/>
          <w:b w:val="false"/>
          <w:i w:val="false"/>
          <w:color w:val="000000"/>
          <w:sz w:val="14"/>
        </w:rPr>
        <w:t>[Prior to 6/15/88, see Professional Teaching Practices Commission[640] Ch 2]</w:t>
      </w:r>
    </w:p>
    <w:p>
      <w:pPr>
        <w:spacing w:before="0" w:after="0"/>
        <w:ind w:left="120"/>
        <w:jc w:val="center"/>
      </w:pPr>
      <w:r>
        <w:rPr>
          <w:rFonts w:ascii="Times New Roman" w:hAnsi="Times New Roman"/>
          <w:b w:val="false"/>
          <w:i w:val="false"/>
          <w:color w:val="000000"/>
          <w:sz w:val="14"/>
        </w:rPr>
        <w:t>[Prior to 5/16/90, see Professional Teaching Practices Commission[287]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282—11.1</w:t>
      </w:r>
      <w:r>
        <w:rPr>
          <w:rFonts w:ascii="Times New Roman" w:hAnsi="Times New Roman"/>
          <w:b/>
          <w:i w:val="false"/>
          <w:color w:val="000000"/>
          <w:sz w:val="22"/>
        </w:rPr>
        <w:t xml:space="preserve">(17A,256)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board of educational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means any qualified party who files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“In-person hearing” </w:t>
      </w:r>
      <w:r>
        <w:rPr>
          <w:rFonts w:ascii="Times New Roman" w:hAnsi="Times New Roman"/>
          <w:b w:val="false"/>
          <w:i w:val="false"/>
          <w:color w:val="000000"/>
          <w:sz w:val="22"/>
        </w:rPr>
        <w:t>means an appeal hearing where the administrative law judge and appellant are physically present in the same location but witnesses are not required to be physically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an administrative law judge from the department of inspections, appeals, and licensing or the full board or a three-member panel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full board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any individual who is charged in a complaint with violating the criteria of professional practices or the criteria of competent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w:t>
      </w:r>
      <w:r>
        <w:rPr>
          <w:rFonts w:ascii="Times New Roman" w:hAnsi="Times New Roman"/>
          <w:b/>
          <w:i w:val="false"/>
          <w:color w:val="000000"/>
          <w:sz w:val="22"/>
        </w:rPr>
        <w:t xml:space="preserve">(17A,256) </w:t>
      </w:r>
      <w:r>
        <w:rPr>
          <w:rFonts w:ascii="Times New Roman" w:hAnsi="Times New Roman"/>
          <w:b/>
          <w:i w:val="false"/>
          <w:color w:val="000000"/>
          <w:sz w:val="22"/>
        </w:rPr>
        <w:t xml:space="preserve">Jurisdictional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The case must relate to alleged violation of the criteria of professional practices or the criteria of competent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The magnitude of the alleged violation must be adequate to warrant a hearing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There must be sufficient evidence to support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The complaint must be filed by a person who has personal knowledge of an alleged violation and must include a concise statement of facts that clearly and specifically apprises the respondent of the details of the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complaint must be filed within three years of the occurrence of the conduct upon which it is based or discovery of the conduct by the complainant unless good cause can be shown for extension of this limitation or unless the conduct constitutes conduct described in Iowa Code section </w:t>
      </w:r>
      <w:hyperlink r:id="rId7">
        <w:r>
          <w:rPr>
            <w:rStyle w:val="Hyperlink"/>
            <w:rFonts w:ascii="Times New Roman" w:hAnsi="Times New Roman"/>
            <w:b w:val="false"/>
            <w:i w:val="false"/>
            <w:color w:val="000000"/>
            <w:sz w:val="22"/>
          </w:rPr>
          <w:t>256.160(1)</w:t>
        </w:r>
      </w:hyperlink>
      <w:r>
        <w:rPr>
          <w:rFonts w:ascii="Times New Roman" w:hAnsi="Times New Roman"/>
          <w:b w:val="false"/>
          <w:i/>
          <w:color w:val="000000"/>
          <w:sz w:val="22"/>
        </w:rPr>
        <w:t>“a”</w:t>
      </w:r>
      <w:r>
        <w:rPr>
          <w:rFonts w:ascii="Times New Roman" w:hAnsi="Times New Roman"/>
          <w:b w:val="false"/>
          <w:i w:val="false"/>
          <w:color w:val="000000"/>
          <w:sz w:val="22"/>
        </w:rPr>
        <w:t>(1)(a).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val="false"/>
          <w:color w:val="000000"/>
          <w:sz w:val="22"/>
        </w:rPr>
        <w:t>The jurisdictional requirements must be met on the face of the complaint before the board may order an investigation of the allegation(s)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282—11.4</w:t>
      </w:r>
      <w:r>
        <w:rPr>
          <w:rFonts w:ascii="Times New Roman" w:hAnsi="Times New Roman"/>
          <w:b/>
          <w:i w:val="false"/>
          <w:color w:val="000000"/>
          <w:sz w:val="22"/>
        </w:rPr>
        <w:t xml:space="preserve">(17A,256) </w:t>
      </w:r>
      <w:r>
        <w:rPr>
          <w:rFonts w:ascii="Times New Roman" w:hAnsi="Times New Roman"/>
          <w:b/>
          <w:i w:val="false"/>
          <w:color w:val="000000"/>
          <w:sz w:val="22"/>
        </w:rPr>
        <w:t xml:space="preserve">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Who may initiate. </w:t>
      </w:r>
      <w:r>
        <w:rPr>
          <w:rFonts w:ascii="Times New Roman" w:hAnsi="Times New Roman"/>
          <w:b w:val="false"/>
          <w:i w:val="false"/>
          <w:color w:val="000000"/>
          <w:sz w:val="22"/>
        </w:rPr>
        <w:t>The following entities may initiate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practitioners.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 human resource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Recognized educational entities or local or state professional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Local boards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Parents or guardians of students involved in the alleged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of the board of educational examiners if the following circumstances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receives information that a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felony criminal offense, or a misdemeanor criminal offense wherein the victim of the crime was 18 years of age or younger, and the executive director expressly determines within the complaint that the nature of the offense clearly and directly impacts the practitioner’s fitness or ability to retain the specific license(s) or authorization(s) that the practitioner holds;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the subject of a founded report of child abuse placed upon the central registry maintained by the department of health and human services pursuant to Iowa Code section </w:t>
      </w:r>
      <w:hyperlink r:id="rId8">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and the executive director expressly determines within the complaint that the nature of the offense clearly and directly impacts the practitioner’s fitness or ability to retain the specific license(s) or authorization(s) that the practitioner holds;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Has not met a reporting requirement stipulated by Iowa Code section </w:t>
      </w:r>
      <w:hyperlink r:id="rId9">
        <w:r>
          <w:rPr>
            <w:rStyle w:val="Hyperlink"/>
            <w:rFonts w:ascii="Times New Roman" w:hAnsi="Times New Roman"/>
            <w:b w:val="false"/>
            <w:i w:val="false"/>
            <w:color w:val="000000"/>
            <w:sz w:val="22"/>
          </w:rPr>
          <w:t>256.160</w:t>
        </w:r>
      </w:hyperlink>
      <w:r>
        <w:rPr>
          <w:rFonts w:ascii="Times New Roman" w:hAnsi="Times New Roman"/>
          <w:b w:val="false"/>
          <w:i w:val="false"/>
          <w:color w:val="000000"/>
          <w:sz w:val="22"/>
        </w:rPr>
        <w:t xml:space="preserve">, Iowa Code section </w:t>
      </w:r>
      <w:hyperlink r:id="rId10">
        <w:r>
          <w:rPr>
            <w:rStyle w:val="Hyperlink"/>
            <w:rFonts w:ascii="Times New Roman" w:hAnsi="Times New Roman"/>
            <w:b w:val="false"/>
            <w:i w:val="false"/>
            <w:color w:val="000000"/>
            <w:sz w:val="22"/>
          </w:rPr>
          <w:t>279.43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281—subrule 102.11(2)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282—Chapter 11</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282—Chapter 25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falsified a license or authorization issued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submitted false information on a license or authorization application filed with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Does not hold the appropriate license for the assignment for which the practitioner is currently employed;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assigned another practitioner to perform services for which the practitioner is not properly licensed;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Has failed to comply with a board order as prohibited by </w:t>
      </w:r>
      <w:hyperlink r:id="rId14">
        <w:r>
          <w:rPr>
            <w:rStyle w:val="Hyperlink"/>
            <w:rFonts w:ascii="Times New Roman" w:hAnsi="Times New Roman"/>
            <w:b w:val="false"/>
            <w:i w:val="false"/>
            <w:color w:val="000000"/>
            <w:sz w:val="22"/>
          </w:rPr>
          <w:t>282—paragraph 25.3(7)</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verifies the information or the alleged misconduct through review of official records maintained by the board, a court, the department of health and human services registry of founded child abuse reports, the practitioner licensing authority of another state, the department of education, the local school district, area education agency, or authorities in charge of the nonpublic school, or the executive director is presented with the falsified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other complaint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of transportation if the licensee named in the complaint holds a behind-the-wheel instructor’s certification issued by the department and the complaint relates to an incident or incidents arising during the course of driver’s education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of the department of education who, while performing official duties, becomes aware of any alleged misconduct by an individual licensed under Iowa Code section </w:t>
      </w:r>
      <w:hyperlink r:id="rId15">
        <w:r>
          <w:rPr>
            <w:rStyle w:val="Hyperlink"/>
            <w:rFonts w:ascii="Times New Roman" w:hAnsi="Times New Roman"/>
            <w:b w:val="false"/>
            <w:i w:val="false"/>
            <w:color w:val="000000"/>
            <w:sz w:val="22"/>
          </w:rPr>
          <w:t>256.146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will be in writing and signed by at least one complainant who has personal knowledge of an alleged violation of the board’s rules or related state law or an authorized representative if the complainant is an organization. (An official form may be used. This form may be obtained from the board upon request, and a typed signature may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will show venue as “BEFORE THE BOARD OF EDUCATIONAL EXAMINERS” and will be captioned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if known, of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facts that clearly and specifically apprises the respondent of the details of the alleged violation of the criteria of professional practices or the criteria of competent performance and the relief sought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the basis of the complainant’s personal knowledge of the facts underlying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Required copies—place and time of filing the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complaint will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will be delivered personally, electronically, or by mail to the office of the board. The current office address is 701 East Court Avenue, Suite A,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Amendment or withdrawal of complaint. </w:t>
      </w:r>
      <w:r>
        <w:rPr>
          <w:rFonts w:ascii="Times New Roman" w:hAnsi="Times New Roman"/>
          <w:b w:val="false"/>
          <w:i w:val="false"/>
          <w:color w:val="000000"/>
          <w:sz w:val="22"/>
        </w:rPr>
        <w:t xml:space="preserve">A complaint or any specification thereof may be amended or withdrawn by the complainant at any time unless the complaint was filed in accordance with the required reporting requirements set forth in Iowa Code sections </w:t>
      </w:r>
      <w:hyperlink r:id="rId16">
        <w:r>
          <w:rPr>
            <w:rStyle w:val="Hyperlink"/>
            <w:rFonts w:ascii="Times New Roman" w:hAnsi="Times New Roman"/>
            <w:b w:val="false"/>
            <w:i w:val="false"/>
            <w:color w:val="000000"/>
            <w:sz w:val="22"/>
          </w:rPr>
          <w:t>256.146</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260.160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279.73</w:t>
        </w:r>
      </w:hyperlink>
      <w:r>
        <w:rPr>
          <w:rFonts w:ascii="Times New Roman" w:hAnsi="Times New Roman"/>
          <w:b w:val="false"/>
          <w:i w:val="false"/>
          <w:color w:val="000000"/>
          <w:sz w:val="22"/>
        </w:rPr>
        <w:t xml:space="preserve">. The parties to a complaint may mutually agree to the resolution of the complaint prior to a finding of probable cause unless the complaint was filed in accordance with the required reporting requirements set forth in Iowa Code sections </w:t>
      </w:r>
      <w:hyperlink r:id="rId19">
        <w:r>
          <w:rPr>
            <w:rStyle w:val="Hyperlink"/>
            <w:rFonts w:ascii="Times New Roman" w:hAnsi="Times New Roman"/>
            <w:b w:val="false"/>
            <w:i w:val="false"/>
            <w:color w:val="000000"/>
            <w:sz w:val="22"/>
          </w:rPr>
          <w:t>256.146</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256.160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279.73.</w:t>
        </w:r>
      </w:hyperlink>
      <w:r>
        <w:rPr>
          <w:rFonts w:ascii="Times New Roman" w:hAnsi="Times New Roman"/>
          <w:b w:val="false"/>
          <w:i w:val="false"/>
          <w:color w:val="000000"/>
          <w:sz w:val="22"/>
        </w:rPr>
        <w:t xml:space="preserve"> The resolution must be committed to a written agreement and filed with the board. The agreement is not subject to approval by the board but will be acknowledged by the board and may be incorporated into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Respondent entitled to copy of the complaint. </w:t>
      </w:r>
      <w:r>
        <w:rPr>
          <w:rFonts w:ascii="Times New Roman" w:hAnsi="Times New Roman"/>
          <w:b w:val="false"/>
          <w:i w:val="false"/>
          <w:color w:val="000000"/>
          <w:sz w:val="22"/>
        </w:rPr>
        <w:t xml:space="preserve">Immediately upon the board’s determination that jurisdictional requirements have been met, the respondent will be provided a copy of the complaint or amended complaint and any supporting documents attached to the complaint at the time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of license—agreement to accept lesser sanction. </w:t>
      </w:r>
      <w:r>
        <w:rPr>
          <w:rFonts w:ascii="Times New Roman" w:hAnsi="Times New Roman"/>
          <w:b w:val="false"/>
          <w:i w:val="false"/>
          <w:color w:val="000000"/>
          <w:sz w:val="22"/>
        </w:rPr>
        <w:t>A practitioner may voluntarily surrender the practitioner’s license or agree to accept a lesser sanction from the board prior to or after the filing of a complaint with the board without admitting the truth of the allegations of the complaint if a complaint is on file with the board. In order to voluntarily surrender a license or submit to a sanction, the practitioner must waive the right to hearing before the board and notify the board of the intent to surrender or accept sanction. The board may issue an order permanently revoking the practitioner’s license if it is surrendered, or implementing the agreed upon sanction. The board may decline to issue an agreed upon sanction if, in the board’s judgment, the agreed upon sanction is not appropriate for the circumstances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license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Reports received by the board from another state, territory or other jurisdiction concerning licenses or certificate revocation or suspension will be reviewed and investigated by the board in the same manner as is prescribed in these rules for the review and investigation of written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report a license revocation, suspension or other disciplinary action taken by licensing authority of another state, territory or jurisdiction within 30 days of the final action by such licensing authority will constitute cause for initiation of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w:t>
      </w:r>
      <w:r>
        <w:rPr>
          <w:rFonts w:ascii="Times New Roman" w:hAnsi="Times New Roman"/>
          <w:b w:val="false"/>
          <w:i w:val="false"/>
          <w:color w:val="000000"/>
          <w:sz w:val="22"/>
        </w:rPr>
        <w:t> </w:t>
      </w:r>
      <w:r>
        <w:rPr>
          <w:rFonts w:ascii="Times New Roman" w:hAnsi="Times New Roman"/>
          <w:b w:val="false"/>
          <w:i/>
          <w:color w:val="000000"/>
          <w:sz w:val="22"/>
        </w:rPr>
        <w:t xml:space="preserve">Timely resolution of complaints. </w:t>
      </w:r>
      <w:r>
        <w:rPr>
          <w:rFonts w:ascii="Times New Roman" w:hAnsi="Times New Roman"/>
          <w:b w:val="false"/>
          <w:i w:val="false"/>
          <w:color w:val="000000"/>
          <w:sz w:val="22"/>
        </w:rPr>
        <w:t>Complaints filed with the board will be resolved within 180 days unless good cause can be shown for an extension of this limitation. The board will provide notice to the parties to a complaint prior to taking action to extend this time limitation upon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Confidentiality requirements are set forth in Iowa Code section </w:t>
      </w:r>
      <w:hyperlink r:id="rId22">
        <w:r>
          <w:rPr>
            <w:rStyle w:val="Hyperlink"/>
            <w:rFonts w:ascii="Times New Roman" w:hAnsi="Times New Roman"/>
            <w:b w:val="false"/>
            <w:i w:val="false"/>
            <w:color w:val="000000"/>
            <w:sz w:val="22"/>
          </w:rPr>
          <w:t>256.158.</w:t>
        </w:r>
      </w:hyperlink>
      <w:r>
        <w:rPr>
          <w:rFonts w:ascii="Times New Roman" w:hAnsi="Times New Roman"/>
          <w:b w:val="false"/>
          <w:i w:val="false"/>
          <w:color w:val="000000"/>
          <w:sz w:val="22"/>
        </w:rPr>
        <w:t xml:space="preserve"> Records related to written complaints will be collected and retained and will be evaluated if a similar complaint has been filed against the same licensed practitioner. A finding of probable cause, a final written decision, and a finding of fact by the board in a disciplinary proceeding constitute a public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282—11.5</w:t>
      </w:r>
      <w:r>
        <w:rPr>
          <w:rFonts w:ascii="Times New Roman" w:hAnsi="Times New Roman"/>
          <w:b/>
          <w:i w:val="false"/>
          <w:color w:val="000000"/>
          <w:sz w:val="22"/>
        </w:rPr>
        <w:t xml:space="preserve">(256) </w:t>
      </w:r>
      <w:r>
        <w:rPr>
          <w:rFonts w:ascii="Times New Roman" w:hAnsi="Times New Roman"/>
          <w:b/>
          <w:i w:val="false"/>
          <w:color w:val="000000"/>
          <w:sz w:val="22"/>
        </w:rPr>
        <w:t xml:space="preserve">Investigation of complaints or license reports. </w:t>
      </w:r>
      <w:r>
        <w:rPr>
          <w:rFonts w:ascii="Times New Roman" w:hAnsi="Times New Roman"/>
          <w:b w:val="false"/>
          <w:i w:val="false"/>
          <w:color w:val="000000"/>
          <w:sz w:val="22"/>
        </w:rPr>
        <w:t xml:space="preserve">The chairperson of the board or the chairperson’s designee may request an investigator to investigate the complaint or report received by the board from another state, territory or other jurisdiction concerning license or certificate revocation or suspension pursuant to subrule </w:t>
      </w:r>
      <w:hyperlink r:id="rId23">
        <w:r>
          <w:rPr>
            <w:rStyle w:val="Hyperlink"/>
            <w:rFonts w:ascii="Times New Roman" w:hAnsi="Times New Roman"/>
            <w:b w:val="false"/>
            <w:i w:val="false"/>
            <w:color w:val="000000"/>
            <w:sz w:val="22"/>
          </w:rPr>
          <w:t>11.4(7)</w:t>
        </w:r>
      </w:hyperlink>
      <w:r>
        <w:rPr>
          <w:rFonts w:ascii="Times New Roman" w:hAnsi="Times New Roman"/>
          <w:b w:val="false"/>
          <w:i w:val="false"/>
          <w:color w:val="000000"/>
          <w:sz w:val="22"/>
        </w:rPr>
        <w:t>; providing that the jurisdictional requirements have been met on the face of the complaint. The investigation will be limited to the allegations contained on the face of the complaint. The investigator may consult an assistant attorney general concerning the investigation or evidence produced from the investigation. Upon completion of the investigation, the investigator will prepare a report of the investigation for consideration by the board in determining whether probable cause exists.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282—11.6</w:t>
      </w:r>
      <w:r>
        <w:rPr>
          <w:rFonts w:ascii="Times New Roman" w:hAnsi="Times New Roman"/>
          <w:b/>
          <w:i w:val="false"/>
          <w:color w:val="000000"/>
          <w:sz w:val="22"/>
        </w:rPr>
        <w:t xml:space="preserve">(256) </w:t>
      </w:r>
      <w:r>
        <w:rPr>
          <w:rFonts w:ascii="Times New Roman" w:hAnsi="Times New Roman"/>
          <w:b/>
          <w:i w:val="false"/>
          <w:color w:val="000000"/>
          <w:sz w:val="22"/>
        </w:rPr>
        <w:t xml:space="preserve">Ruling on the initial inquiry. </w:t>
      </w:r>
      <w:r>
        <w:rPr>
          <w:rFonts w:ascii="Times New Roman" w:hAnsi="Times New Roman"/>
          <w:b w:val="false"/>
          <w:i w:val="false"/>
          <w:color w:val="000000"/>
          <w:sz w:val="22"/>
        </w:rPr>
        <w:t>Upon review of the investigator’s report, the board may take any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Reject the case. If a determination is made by the board to reject the case, the complaint will be returned to the complainant along with a statement specifying the reasons for rejection. A letter of explanation concerning the decision of the board will be sent to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Require further inquiry. If determination is made by the board to order further inquiry, the complaint and recommendations by the investigator(s) will be returned to the investigator(s) along with a statement specifying the information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the case. If a determination is made by the board that probable cause exists to conclude that the criteria of professional practices or the criteria of competent performance have been violated, notice may be issued, pursuant to rule </w:t>
      </w:r>
      <w:hyperlink r:id="rId24">
        <w:r>
          <w:rPr>
            <w:rStyle w:val="Hyperlink"/>
            <w:rFonts w:ascii="Times New Roman" w:hAnsi="Times New Roman"/>
            <w:b w:val="false"/>
            <w:i w:val="false"/>
            <w:color w:val="000000"/>
            <w:sz w:val="22"/>
          </w:rPr>
          <w:t>282—11.7(17A,256)</w:t>
        </w:r>
      </w:hyperlink>
      <w:r>
        <w:rPr>
          <w:rFonts w:ascii="Times New Roman" w:hAnsi="Times New Roman"/>
          <w:b w:val="false"/>
          <w:i w:val="false"/>
          <w:color w:val="000000"/>
          <w:sz w:val="22"/>
        </w:rPr>
        <w:t xml:space="preserve">, and a formal hearing may be conducted in accordance with rules </w:t>
      </w:r>
      <w:hyperlink r:id="rId25">
        <w:r>
          <w:rPr>
            <w:rStyle w:val="Hyperlink"/>
            <w:rFonts w:ascii="Times New Roman" w:hAnsi="Times New Roman"/>
            <w:b w:val="false"/>
            <w:i w:val="false"/>
            <w:color w:val="000000"/>
            <w:sz w:val="22"/>
          </w:rPr>
          <w:t>282—11.7(17A,256)</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282—11.21(17A,256)</w:t>
        </w:r>
      </w:hyperlink>
      <w:r>
        <w:rPr>
          <w:rFonts w:ascii="Times New Roman" w:hAnsi="Times New Roman"/>
          <w:b w:val="false"/>
          <w:i w:val="false"/>
          <w:color w:val="000000"/>
          <w:sz w:val="22"/>
        </w:rPr>
        <w:t xml:space="preserve"> unless a voluntary waiver of hearing has been filed by the respondent pursuant to the provisions of subrule </w:t>
      </w:r>
      <w:hyperlink r:id="rId27">
        <w:r>
          <w:rPr>
            <w:rStyle w:val="Hyperlink"/>
            <w:rFonts w:ascii="Times New Roman" w:hAnsi="Times New Roman"/>
            <w:b w:val="false"/>
            <w:i w:val="false"/>
            <w:color w:val="000000"/>
            <w:sz w:val="22"/>
          </w:rPr>
          <w:t>11.4(6)</w:t>
        </w:r>
      </w:hyperlink>
      <w:r>
        <w:rPr>
          <w:rFonts w:ascii="Times New Roman" w:hAnsi="Times New Roman"/>
          <w:b w:val="false"/>
          <w:i w:val="false"/>
          <w:color w:val="000000"/>
          <w:sz w:val="22"/>
        </w:rPr>
        <w:t>. In determining whether to issue a notice of hearing, the board may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alleged violation is of sufficient magnitude to warrant a hearing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there is sufficient evidence to support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alleged violation was an isolated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adequate steps have been taken at the local level to ensure similar behavior does not occur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Release the investigative report. If the board finds probable cause of a violation, the investigative report will be available to the respondent upon request. Information contained within the report is confidential and may be used only in connection with the disciplinary proceedings before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282—11.7</w:t>
      </w:r>
      <w:r>
        <w:rPr>
          <w:rFonts w:ascii="Times New Roman" w:hAnsi="Times New Roman"/>
          <w:b/>
          <w:i w:val="false"/>
          <w:color w:val="000000"/>
          <w:sz w:val="22"/>
        </w:rPr>
        <w:t xml:space="preserve">(17A,256)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date,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numbers of counsel representing each of the parties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28">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rule </w:t>
      </w:r>
      <w:hyperlink r:id="rId29">
        <w:r>
          <w:rPr>
            <w:rStyle w:val="Hyperlink"/>
            <w:rFonts w:ascii="Times New Roman" w:hAnsi="Times New Roman"/>
            <w:b w:val="false"/>
            <w:i w:val="false"/>
            <w:color w:val="000000"/>
            <w:sz w:val="22"/>
          </w:rPr>
          <w:t>282—11.8(17A,256)</w:t>
        </w:r>
      </w:hyperlink>
      <w:r>
        <w:rPr>
          <w:rFonts w:ascii="Times New Roman" w:hAnsi="Times New Roman"/>
          <w:b w:val="false"/>
          <w:i w:val="false"/>
          <w:color w:val="000000"/>
          <w:sz w:val="22"/>
        </w:rPr>
        <w:t>, that the presiding officer be an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282—11.8</w:t>
      </w:r>
      <w:r>
        <w:rPr>
          <w:rFonts w:ascii="Times New Roman" w:hAnsi="Times New Roman"/>
          <w:b/>
          <w:i w:val="false"/>
          <w:color w:val="000000"/>
          <w:sz w:val="22"/>
        </w:rPr>
        <w:t xml:space="preserve">(17A,256)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appeals, and licensing must file a written request within 20 days after service of a notice of hearing that identifies or describes the presiding officer as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val="false"/>
          <w:color w:val="000000"/>
          <w:sz w:val="22"/>
        </w:rPr>
        <w:t>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board nor any officer of the board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subrule </w:t>
      </w:r>
      <w:hyperlink r:id="rId30">
        <w:r>
          <w:rPr>
            <w:rStyle w:val="Hyperlink"/>
            <w:rFonts w:ascii="Times New Roman" w:hAnsi="Times New Roman"/>
            <w:b w:val="false"/>
            <w:i w:val="false"/>
            <w:color w:val="000000"/>
            <w:sz w:val="22"/>
          </w:rPr>
          <w:t>11.8(4)</w:t>
        </w:r>
      </w:hyperlink>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31">
        <w:r>
          <w:rPr>
            <w:rStyle w:val="Hyperlink"/>
            <w:rFonts w:ascii="Times New Roman" w:hAnsi="Times New Roman"/>
            <w:b w:val="false"/>
            <w:i w:val="false"/>
            <w:color w:val="000000"/>
            <w:sz w:val="22"/>
          </w:rPr>
          <w:t>11.8(4)</w:t>
        </w:r>
      </w:hyperlink>
      <w:r>
        <w:rPr>
          <w:rFonts w:ascii="Times New Roman" w:hAnsi="Times New Roman"/>
          <w:b w:val="false"/>
          <w:i w:val="false"/>
          <w:color w:val="000000"/>
          <w:sz w:val="22"/>
        </w:rPr>
        <w:t>, the parties will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a contested case will have the following technical expertness unless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Juris Doctor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criteria, which may be added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board.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board, when reviewing a proposed decision upon intra-agency appeal, will have the powers of and will comply with the provisions of this chapter that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282—11.9</w:t>
      </w:r>
      <w:r>
        <w:rPr>
          <w:rFonts w:ascii="Times New Roman" w:hAnsi="Times New Roman"/>
          <w:b/>
          <w:i w:val="false"/>
          <w:color w:val="000000"/>
          <w:sz w:val="22"/>
        </w:rPr>
        <w:t xml:space="preserve">(17A,256)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282—11.10</w:t>
      </w:r>
      <w:r>
        <w:rPr>
          <w:rFonts w:ascii="Times New Roman" w:hAnsi="Times New Roman"/>
          <w:b/>
          <w:i w:val="false"/>
          <w:color w:val="000000"/>
          <w:sz w:val="22"/>
        </w:rPr>
        <w:t xml:space="preserve">(17A,256) </w:t>
      </w:r>
      <w:r>
        <w:rPr>
          <w:rFonts w:ascii="Times New Roman" w:hAnsi="Times New Roman"/>
          <w:b/>
          <w:i w:val="false"/>
          <w:color w:val="000000"/>
          <w:sz w:val="22"/>
        </w:rPr>
        <w:t xml:space="preserve">Telephone or electronic proceedings. </w:t>
      </w:r>
      <w:r>
        <w:rPr>
          <w:rFonts w:ascii="Times New Roman" w:hAnsi="Times New Roman"/>
          <w:b w:val="false"/>
          <w:i w:val="false"/>
          <w:color w:val="000000"/>
          <w:sz w:val="22"/>
        </w:rPr>
        <w:t>The presiding officer may resolve preliminary procedural motions by telephone or electronic conference in which all parties have an opportunity to participate. Other telephone or electronic proceedings may be held with the consent of all parties. The presiding officer will determine the location of the parties for telephone or electronic hearings. The convenience of the parties, as well as the nature of the case, will be considered when location is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282—11.11</w:t>
      </w:r>
      <w:r>
        <w:rPr>
          <w:rFonts w:ascii="Times New Roman" w:hAnsi="Times New Roman"/>
          <w:b/>
          <w:i w:val="false"/>
          <w:color w:val="000000"/>
          <w:sz w:val="22"/>
        </w:rPr>
        <w:t xml:space="preserve">(17A,256)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board member will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that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that culminates in a contested case. Factual information relevant to the merits of a contested case received by a person who later serves as presiding officer in that case will be disclosed if required by Iowa Code section </w:t>
      </w:r>
      <w:hyperlink r:id="rId32">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subrules </w:t>
      </w:r>
      <w:hyperlink r:id="rId33">
        <w:r>
          <w:rPr>
            <w:rStyle w:val="Hyperlink"/>
            <w:rFonts w:ascii="Times New Roman" w:hAnsi="Times New Roman"/>
            <w:b w:val="false"/>
            <w:i w:val="false"/>
            <w:color w:val="000000"/>
            <w:sz w:val="22"/>
          </w:rPr>
          <w:t>11.11(3)</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11.24(9)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board member knows of information that might reasonably be deemed to be a basis for disqualification and decides voluntary withdrawal is unnecessary, that person will submit the relevant information for the record by affidavit and will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35">
        <w:r>
          <w:rPr>
            <w:rStyle w:val="Hyperlink"/>
            <w:rFonts w:ascii="Times New Roman" w:hAnsi="Times New Roman"/>
            <w:b w:val="false"/>
            <w:i w:val="false"/>
            <w:color w:val="000000"/>
            <w:sz w:val="22"/>
          </w:rPr>
          <w:t>11.11(1)</w:t>
        </w:r>
      </w:hyperlink>
      <w:r>
        <w:rPr>
          <w:rFonts w:ascii="Times New Roman" w:hAnsi="Times New Roman"/>
          <w:b w:val="false"/>
          <w:i w:val="false"/>
          <w:color w:val="000000"/>
          <w:sz w:val="22"/>
        </w:rPr>
        <w:t xml:space="preserve">, the party will file a motion supported by an affidavit pursuant to Iowa Code section </w:t>
      </w:r>
      <w:hyperlink r:id="rId36">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board member will withdraw. If the presiding officer determines that withdrawal is not required, the presiding officer will enter an order to that effect. A party asserting disqualification may seek an interlocutory appeal under rule </w:t>
      </w:r>
      <w:hyperlink r:id="rId37">
        <w:r>
          <w:rPr>
            <w:rStyle w:val="Hyperlink"/>
            <w:rFonts w:ascii="Times New Roman" w:hAnsi="Times New Roman"/>
            <w:b w:val="false"/>
            <w:i w:val="false"/>
            <w:color w:val="000000"/>
            <w:sz w:val="22"/>
          </w:rPr>
          <w:t>282—11.26</w:t>
        </w:r>
      </w:hyperlink>
      <w:r>
        <w:rPr>
          <w:rFonts w:ascii="Times New Roman" w:hAnsi="Times New Roman"/>
          <w:b w:val="false"/>
          <w:i w:val="false"/>
          <w:color w:val="000000"/>
          <w:sz w:val="22"/>
        </w:rPr>
        <w:t xml:space="preserve">(17A,256) and seek a stay under rule </w:t>
      </w:r>
      <w:hyperlink r:id="rId38">
        <w:r>
          <w:rPr>
            <w:rStyle w:val="Hyperlink"/>
            <w:rFonts w:ascii="Times New Roman" w:hAnsi="Times New Roman"/>
            <w:b w:val="false"/>
            <w:i w:val="false"/>
            <w:color w:val="000000"/>
            <w:sz w:val="22"/>
          </w:rPr>
          <w:t>282—11.30</w:t>
        </w:r>
      </w:hyperlink>
      <w:r>
        <w:rPr>
          <w:rFonts w:ascii="Times New Roman" w:hAnsi="Times New Roman"/>
          <w:b w:val="false"/>
          <w:i w:val="false"/>
          <w:color w:val="000000"/>
          <w:sz w:val="22"/>
        </w:rPr>
        <w:t>(17A,256).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282—11.12</w:t>
      </w:r>
      <w:r>
        <w:rPr>
          <w:rFonts w:ascii="Times New Roman" w:hAnsi="Times New Roman"/>
          <w:b/>
          <w:i w:val="false"/>
          <w:color w:val="000000"/>
          <w:sz w:val="22"/>
        </w:rPr>
        <w:t xml:space="preserve">(17A,256)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282—11.13</w:t>
      </w:r>
      <w:r>
        <w:rPr>
          <w:rFonts w:ascii="Times New Roman" w:hAnsi="Times New Roman"/>
          <w:b/>
          <w:i w:val="false"/>
          <w:color w:val="000000"/>
          <w:sz w:val="22"/>
        </w:rPr>
        <w:t xml:space="preserve">(17A,256)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val="false"/>
          <w:color w:val="000000"/>
          <w:sz w:val="22"/>
        </w:rPr>
        <w:t>Answer. An answer will be filed within 20 days of service of the notice of hearing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will show on whose behalf it is filed and specifically admit, deny, or otherwise answer all material allegations of the notice of hearing to which it responds. It will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will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notice of hearing not denied in the answer is considered admitted. 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val="false"/>
          <w:color w:val="000000"/>
          <w:sz w:val="22"/>
        </w:rPr>
        <w:t>Amendment. Notices of hearing and answers may be amended with the consent of the parties or in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282—11.14</w:t>
      </w:r>
      <w:r>
        <w:rPr>
          <w:rFonts w:ascii="Times New Roman" w:hAnsi="Times New Roman"/>
          <w:b/>
          <w:i w:val="false"/>
          <w:color w:val="000000"/>
          <w:sz w:val="22"/>
        </w:rPr>
        <w:t xml:space="preserve">(17A,256)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will be served upon each of the parties of record to the proceeding, simultaneously with their filing. Except for the original notice of hearing and an application for rehearing as provided in Iowa Code section </w:t>
      </w:r>
      <w:hyperlink r:id="rId39">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will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will be filed with the Board of Educational Examiners, 701 East Court Avenue, Suite A, Des Moines, Iowa 50309. All documents that are required to be served upon a party will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282—11.15</w:t>
      </w:r>
      <w:r>
        <w:rPr>
          <w:rFonts w:ascii="Times New Roman" w:hAnsi="Times New Roman"/>
          <w:b/>
          <w:i w:val="false"/>
          <w:color w:val="000000"/>
          <w:sz w:val="22"/>
        </w:rPr>
        <w:t xml:space="preserve">(17A,256)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val="false"/>
          <w:color w:val="000000"/>
          <w:sz w:val="22"/>
        </w:rPr>
        <w:t>The following Iowa Rules of Civil Procedure applicable to discovery are available for use in contested cases: 1.1701, 1.507, 1.509, 1.510, 1.511 and 1.512.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val="false"/>
          <w:color w:val="000000"/>
          <w:sz w:val="22"/>
        </w:rPr>
        <w:t>A party may file a motion to compel or other motion related to discovery in accordance with this subrule. Any motion filed with the presiding officer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lengthened or shortened by the presiding officer.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11.15(3)</w:t>
      </w:r>
      <w:r>
        <w:rPr>
          <w:rFonts w:ascii="Times New Roman" w:hAnsi="Times New Roman"/>
          <w:b w:val="false"/>
          <w:i w:val="false"/>
          <w:color w:val="000000"/>
          <w:sz w:val="22"/>
        </w:rPr>
        <w:t> </w:t>
      </w:r>
      <w:r>
        <w:rPr>
          <w:rFonts w:ascii="Times New Roman" w:hAnsi="Times New Roman"/>
          <w:b w:val="false"/>
          <w:i w:val="false"/>
          <w:color w:val="000000"/>
          <w:sz w:val="22"/>
        </w:rPr>
        <w:t>Evidence obtained in such discovery may be used in contested case proceedings if the evidence would otherwise be admissible in the contested case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282—11.16</w:t>
      </w:r>
      <w:r>
        <w:rPr>
          <w:rFonts w:ascii="Times New Roman" w:hAnsi="Times New Roman"/>
          <w:b/>
          <w:i w:val="false"/>
          <w:color w:val="000000"/>
          <w:sz w:val="22"/>
        </w:rPr>
        <w:t xml:space="preserve">(17A,256)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11.16(1)</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 xml:space="preserve">In connection with the investigation set forth in rule </w:t>
      </w:r>
      <w:hyperlink r:id="rId40">
        <w:r>
          <w:rPr>
            <w:rStyle w:val="Hyperlink"/>
            <w:rFonts w:ascii="Times New Roman" w:hAnsi="Times New Roman"/>
            <w:b w:val="false"/>
            <w:i w:val="false"/>
            <w:color w:val="000000"/>
            <w:sz w:val="22"/>
          </w:rPr>
          <w:t>282—11.5(256)</w:t>
        </w:r>
      </w:hyperlink>
      <w:r>
        <w:rPr>
          <w:rFonts w:ascii="Times New Roman" w:hAnsi="Times New Roman"/>
          <w:b w:val="false"/>
          <w:i w:val="false"/>
          <w:color w:val="000000"/>
          <w:sz w:val="22"/>
        </w:rPr>
        <w:t xml:space="preserve">, the board is authorized by law to subpoena books, papers, records and any other evidence to help it determine whether it should institute a contested case proceeding (hearing). After service of the hearing notification contemplated by rule </w:t>
      </w:r>
      <w:hyperlink r:id="rId41">
        <w:r>
          <w:rPr>
            <w:rStyle w:val="Hyperlink"/>
            <w:rFonts w:ascii="Times New Roman" w:hAnsi="Times New Roman"/>
            <w:b w:val="false"/>
            <w:i w:val="false"/>
            <w:color w:val="000000"/>
            <w:sz w:val="22"/>
          </w:rPr>
          <w:t>282—11.7(17A,256)</w:t>
        </w:r>
      </w:hyperlink>
      <w:r>
        <w:rPr>
          <w:rFonts w:ascii="Times New Roman" w:hAnsi="Times New Roman"/>
          <w:b w:val="false"/>
          <w:i w:val="false"/>
          <w:color w:val="000000"/>
          <w:sz w:val="22"/>
        </w:rPr>
        <w:t>, the following procedures are available to the parties in order to obtain relevant and material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Board subpoenas for books, papers, records, and other evidence will be issued to a party upon request. Such a request will be in writing. Application should be made to the board office specifying the evidence sought. Subpoenas for witnesses may also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obtained by subpoena will be admissible at the hearing if it is otherwise admissible under rule </w:t>
      </w:r>
      <w:hyperlink r:id="rId42">
        <w:r>
          <w:rPr>
            <w:rStyle w:val="Hyperlink"/>
            <w:rFonts w:ascii="Times New Roman" w:hAnsi="Times New Roman"/>
            <w:b w:val="false"/>
            <w:i w:val="false"/>
            <w:color w:val="000000"/>
            <w:sz w:val="22"/>
          </w:rPr>
          <w:t>282—11.22(17A,256)</w:t>
        </w:r>
      </w:hyperlink>
      <w:r>
        <w:rPr>
          <w:rFonts w:ascii="Times New Roman" w:hAnsi="Times New Roman"/>
          <w:b w:val="false"/>
          <w:i w:val="false"/>
          <w:color w:val="000000"/>
          <w:sz w:val="22"/>
        </w:rPr>
        <w:t>. In subpoena matters, the parties will honor the rules of privilege imposed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evidence outlined in Iowa Code section </w:t>
      </w:r>
      <w:hyperlink r:id="rId43">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where applicable and relevant will be made available to a party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will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282—11.17</w:t>
      </w:r>
      <w:r>
        <w:rPr>
          <w:rFonts w:ascii="Times New Roman" w:hAnsi="Times New Roman"/>
          <w:b/>
          <w:i w:val="false"/>
          <w:color w:val="000000"/>
          <w:sz w:val="22"/>
        </w:rPr>
        <w:t xml:space="preserve">(17A,256)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15 days after the motion is served unless the time period is extended or shortened by rules of the agency or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arguments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including motions for summary judgment,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282—11.18</w:t>
      </w:r>
      <w:r>
        <w:rPr>
          <w:rFonts w:ascii="Times New Roman" w:hAnsi="Times New Roman"/>
          <w:b/>
          <w:i w:val="false"/>
          <w:color w:val="000000"/>
          <w:sz w:val="22"/>
        </w:rPr>
        <w:t xml:space="preserve">(17A,256)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will be filed not less than seven days prior to the hearing date. A prehearing conference will be conducted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will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11.18(2)</w:t>
      </w:r>
      <w:r>
        <w:rPr>
          <w:rFonts w:ascii="Times New Roman" w:hAnsi="Times New Roman"/>
          <w:b w:val="false"/>
          <w:i w:val="false"/>
          <w:color w:val="000000"/>
          <w:sz w:val="22"/>
        </w:rPr>
        <w:t> </w:t>
      </w:r>
      <w:r>
        <w:rPr>
          <w:rFonts w:ascii="Times New Roman" w:hAnsi="Times New Roman"/>
          <w:b w:val="false"/>
          <w:i w:val="false"/>
          <w:color w:val="000000"/>
          <w:sz w:val="22"/>
        </w:rPr>
        <w:t>Each party will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that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44">
        <w:r>
          <w:rPr>
            <w:rStyle w:val="Hyperlink"/>
            <w:rFonts w:ascii="Times New Roman" w:hAnsi="Times New Roman"/>
            <w:b w:val="false"/>
            <w:i w:val="false"/>
            <w:color w:val="000000"/>
            <w:sz w:val="22"/>
          </w:rPr>
          <w:t>11.18(2)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will be conducted by telephone unless otherwise ordered. Parties will exchange and receive witness and exhibit lists in advance of a telephone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282—11.19</w:t>
      </w:r>
      <w:r>
        <w:rPr>
          <w:rFonts w:ascii="Times New Roman" w:hAnsi="Times New Roman"/>
          <w:b/>
          <w:i w:val="false"/>
          <w:color w:val="000000"/>
          <w:sz w:val="22"/>
        </w:rPr>
        <w:t xml:space="preserve">(17A,256) </w:t>
      </w:r>
      <w:r>
        <w:rPr>
          <w:rFonts w:ascii="Times New Roman" w:hAnsi="Times New Roman"/>
          <w:b/>
          <w:i w:val="false"/>
          <w:color w:val="000000"/>
          <w:sz w:val="22"/>
        </w:rPr>
        <w:t xml:space="preserve">Continuances. </w:t>
      </w:r>
      <w:r>
        <w:rPr>
          <w:rFonts w:ascii="Times New Roman" w:hAnsi="Times New Roman"/>
          <w:b w:val="false"/>
          <w:i w:val="false"/>
          <w:color w:val="000000"/>
          <w:sz w:val="22"/>
        </w:rPr>
        <w:t>A party has no automatic right to a continuance or delay of the board’s hearing procedure or schedule. However, a party may request a continuance of the presiding officer no later than seven days prior to the date set for hearing. The presiding officer will have the power to grant continuances. Within seven days of the date set for hearing, no continuances will be granted except for extraordinary, extenuating or emergency circumstances. In these situations, the presiding officer will grant continuances after consultation, if needed, with the chairperson of the board, the executive director, or the attorney representing the board. A board member will not be contacted in person, by mail or by telephone by a party seeking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282—11.20</w:t>
      </w:r>
      <w:r>
        <w:rPr>
          <w:rFonts w:ascii="Times New Roman" w:hAnsi="Times New Roman"/>
          <w:b/>
          <w:i w:val="false"/>
          <w:color w:val="000000"/>
          <w:sz w:val="22"/>
        </w:rPr>
        <w:t xml:space="preserve">(17A,256)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will state the grounds for the proposed intervention, the position and interest of the proposed intervenor, and the possible impact of intervention on the proceeding. A proposed answer or petition in intervention will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will be filed as early in the proceeding as possible to avoid adverse impact on existing parties or the conduct of the proceeding. Unless otherwise ordered, a motion for leave to intervene will be filed before the prehearing conference, if any, or at least 20 days before the date scheduled for hearing. Any later motion must contain a statement of good cause for the failure to file in a timely manner. Unless inequitable or unjust, an intervenor will be bound by any agreement, arrangement, or other matter previously raised in the case. Requests by untimely intervenors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will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282—11.21</w:t>
      </w:r>
      <w:r>
        <w:rPr>
          <w:rFonts w:ascii="Times New Roman" w:hAnsi="Times New Roman"/>
          <w:b/>
          <w:i w:val="false"/>
          <w:color w:val="000000"/>
          <w:sz w:val="22"/>
        </w:rPr>
        <w:t xml:space="preserve">(17A,256)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 If the presiding officer is the board or a panel thereof, an administrative law judge from the department of inspections, appeals, and licensing may be designated to assist the board in conducting proceedings under this chapter. An administrative law judge so designated may rule upon motions and other procedural matters and assist the board in conducting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w:t>
      </w:r>
      <w:r>
        <w:rPr>
          <w:rFonts w:ascii="Times New Roman" w:hAnsi="Times New Roman"/>
          <w:b w:val="false"/>
          <w:i w:val="false"/>
          <w:color w:val="000000"/>
          <w:sz w:val="22"/>
        </w:rPr>
        <w:t> </w:t>
      </w:r>
      <w:r>
        <w:rPr>
          <w:rFonts w:ascii="Times New Roman" w:hAnsi="Times New Roman"/>
          <w:b w:val="false"/>
          <w:i w:val="false"/>
          <w:color w:val="000000"/>
          <w:sz w:val="22"/>
        </w:rPr>
        <w:t>All objections will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11.21(3)</w:t>
      </w:r>
      <w:r>
        <w:rPr>
          <w:rFonts w:ascii="Times New Roman" w:hAnsi="Times New Roman"/>
          <w:b w:val="false"/>
          <w:i w:val="false"/>
          <w:color w:val="000000"/>
          <w:sz w:val="22"/>
        </w:rPr>
        <w:t> </w:t>
      </w:r>
      <w:r>
        <w:rPr>
          <w:rFonts w:ascii="Times New Roman" w:hAnsi="Times New Roman"/>
          <w:b w:val="false"/>
          <w:i w:val="false"/>
          <w:color w:val="000000"/>
          <w:sz w:val="22"/>
        </w:rPr>
        <w:t>Legal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respondent has a right to participate in all hearings or prehearing conferences and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The office of the attorney general or an attorney designated by the executive director will be responsible for prosecuting complaint allegations in all contested case proceedings before the board, except those cases in which the sole allegation involves the failure of a practitioner to fulfill contractual obligations. The assistant attorney general or other designated attorney assigned to prosecute a contested case before the board will not represent the board or the complainant in that case but will represent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 case in which the sole allegation involves the failure of a practitioner to fulfill contractual obligations, the person who files the complaint with the board, or the complainant’s designee, will represent the complainant during the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will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will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will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282—11.22</w:t>
      </w:r>
      <w:r>
        <w:rPr>
          <w:rFonts w:ascii="Times New Roman" w:hAnsi="Times New Roman"/>
          <w:b/>
          <w:i w:val="false"/>
          <w:color w:val="000000"/>
          <w:sz w:val="22"/>
        </w:rPr>
        <w:t xml:space="preserve">(17A,256)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will be confined to the issues concerning allegations raised on the face of the complaint as to which the parties received notice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will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will be accompanied by a brief statement of the grounds upon which it is based. The objection, the ruling on the objection, and the reasons for the ruling will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will briefly summarize the testimony or, with permission of the presiding officer, present the testimony. If the excluded evidence consists of a document or exhibit, it will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282—11.23</w:t>
      </w:r>
      <w:r>
        <w:rPr>
          <w:rFonts w:ascii="Times New Roman" w:hAnsi="Times New Roman"/>
          <w:b/>
          <w:i w:val="false"/>
          <w:color w:val="000000"/>
          <w:sz w:val="22"/>
        </w:rPr>
        <w:t xml:space="preserve">(17A,256)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rule </w:t>
      </w:r>
      <w:hyperlink r:id="rId45">
        <w:r>
          <w:rPr>
            <w:rStyle w:val="Hyperlink"/>
            <w:rFonts w:ascii="Times New Roman" w:hAnsi="Times New Roman"/>
            <w:b w:val="false"/>
            <w:i w:val="false"/>
            <w:color w:val="000000"/>
            <w:sz w:val="22"/>
          </w:rPr>
          <w:t>282—11.28(17A,256)</w:t>
        </w:r>
      </w:hyperlink>
      <w:r>
        <w:rPr>
          <w:rFonts w:ascii="Times New Roman" w:hAnsi="Times New Roman"/>
          <w:b w:val="false"/>
          <w:i w:val="false"/>
          <w:color w:val="000000"/>
          <w:sz w:val="22"/>
        </w:rPr>
        <w:t>. A motion to vacate must state all facts relied upon by the moving party that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11.23(5)</w:t>
      </w:r>
      <w:r>
        <w:rPr>
          <w:rFonts w:ascii="Times New Roman" w:hAnsi="Times New Roman"/>
          <w:b w:val="false"/>
          <w:i w:val="false"/>
          <w:color w:val="000000"/>
          <w:sz w:val="22"/>
        </w:rPr>
        <w:t> </w:t>
      </w:r>
      <w:r>
        <w:rPr>
          <w:rFonts w:ascii="Times New Roman" w:hAnsi="Times New Roman"/>
          <w:b w:val="false"/>
          <w:i w:val="false"/>
          <w:color w:val="000000"/>
          <w:sz w:val="22"/>
        </w:rPr>
        <w:t xml:space="preserve"> Properly substantiated and timely filed motions to vacate will be granted only for good cause shown. The burden of proof as to good cause is on the moving party. Adverse parties will have ten days to respond to a motion to vacate. Adverse parties will be allowed to conduct discovery as to the issue of good cause and to present evidence on the issue prior to a decision on the motion, if a request to do so is included in that party’s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will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46">
        <w:r>
          <w:rPr>
            <w:rStyle w:val="Hyperlink"/>
            <w:rFonts w:ascii="Times New Roman" w:hAnsi="Times New Roman"/>
            <w:b w:val="false"/>
            <w:i w:val="false"/>
            <w:color w:val="000000"/>
            <w:sz w:val="22"/>
          </w:rPr>
          <w:t>282—11.26(17A,256)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will issue another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47">
        <w:r>
          <w:rPr>
            <w:rStyle w:val="Hyperlink"/>
            <w:rFonts w:ascii="Times New Roman" w:hAnsi="Times New Roman"/>
            <w:b w:val="false"/>
            <w:i w:val="false"/>
            <w:color w:val="000000"/>
            <w:sz w:val="22"/>
          </w:rPr>
          <w:t>282—11.30(17A,256)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282—11.24</w:t>
      </w:r>
      <w:r>
        <w:rPr>
          <w:rFonts w:ascii="Times New Roman" w:hAnsi="Times New Roman"/>
          <w:b/>
          <w:i w:val="false"/>
          <w:color w:val="000000"/>
          <w:sz w:val="22"/>
        </w:rPr>
        <w:t xml:space="preserve">(17A,256)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will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board or seeking the advice or help of persons other than those with a personal interest in, or those engaged in personally investigating as defined in subrule </w:t>
      </w:r>
      <w:hyperlink r:id="rId48">
        <w:r>
          <w:rPr>
            <w:rStyle w:val="Hyperlink"/>
            <w:rFonts w:ascii="Times New Roman" w:hAnsi="Times New Roman"/>
            <w:b w:val="false"/>
            <w:i w:val="false"/>
            <w:color w:val="000000"/>
            <w:sz w:val="22"/>
          </w:rPr>
          <w:t>11.11(2)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will be provided in compliance with rule </w:t>
      </w:r>
      <w:hyperlink r:id="rId49">
        <w:r>
          <w:rPr>
            <w:rStyle w:val="Hyperlink"/>
            <w:rFonts w:ascii="Times New Roman" w:hAnsi="Times New Roman"/>
            <w:b w:val="false"/>
            <w:i w:val="false"/>
            <w:color w:val="000000"/>
            <w:sz w:val="22"/>
          </w:rPr>
          <w:t>282—11.13(17A,256)</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11.24(5)</w:t>
      </w:r>
      <w:r>
        <w:rPr>
          <w:rFonts w:ascii="Times New Roman" w:hAnsi="Times New Roman"/>
          <w:b w:val="false"/>
          <w:i w:val="false"/>
          <w:color w:val="000000"/>
          <w:sz w:val="22"/>
        </w:rPr>
        <w:t> </w:t>
      </w:r>
      <w:r>
        <w:rPr>
          <w:rFonts w:ascii="Times New Roman" w:hAnsi="Times New Roman"/>
          <w:b w:val="false"/>
          <w:i w:val="false"/>
          <w:color w:val="000000"/>
          <w:sz w:val="22"/>
        </w:rPr>
        <w:t>Board members acting as presiding officers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50">
        <w:r>
          <w:rPr>
            <w:rStyle w:val="Hyperlink"/>
            <w:rFonts w:ascii="Times New Roman" w:hAnsi="Times New Roman"/>
            <w:b w:val="false"/>
            <w:i w:val="false"/>
            <w:color w:val="000000"/>
            <w:sz w:val="22"/>
          </w:rPr>
          <w:t>11.24(1)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will notify other parties when seeking to continue hearings or other deadlines pursuant to rule </w:t>
      </w:r>
      <w:hyperlink r:id="rId51">
        <w:r>
          <w:rPr>
            <w:rStyle w:val="Hyperlink"/>
            <w:rFonts w:ascii="Times New Roman" w:hAnsi="Times New Roman"/>
            <w:b w:val="false"/>
            <w:i w:val="false"/>
            <w:color w:val="000000"/>
            <w:sz w:val="22"/>
          </w:rPr>
          <w:t>282—11.19(17A,256)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will be submitted for inclusion in the record under seal by protective order (or disclosed). If the presiding officer determines that disqualification is not warranted, such documents will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will disclose to all parties material factual information received through ex parte communication prior to such assignment unless the factual information has already been or shortly will be disclosed pursuant to Iowa Code section </w:t>
      </w:r>
      <w:hyperlink r:id="rId52">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department. Violation of ex parte communication prohibitions by department personnel will be reported to (agency to designate person to whom violations should be reported)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282—11.25</w:t>
      </w:r>
      <w:r>
        <w:rPr>
          <w:rFonts w:ascii="Times New Roman" w:hAnsi="Times New Roman"/>
          <w:b/>
          <w:i w:val="false"/>
          <w:color w:val="000000"/>
          <w:sz w:val="22"/>
        </w:rPr>
        <w:t xml:space="preserve">(17A,256)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will provide a copy of the whole or any portion of the record at cost. The cost of preparing a copy of the record or of transcribing the hearing record will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will bear the cost of that recordation unless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282—11.26</w:t>
      </w:r>
      <w:r>
        <w:rPr>
          <w:rFonts w:ascii="Times New Roman" w:hAnsi="Times New Roman"/>
          <w:b/>
          <w:i w:val="false"/>
          <w:color w:val="000000"/>
          <w:sz w:val="22"/>
        </w:rPr>
        <w:t xml:space="preserve">(17A,256)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presiding officer. In determining whether to do so, the board will weigh the extent to which its granting the interlocutory appeal would expedite final resolution of the case and the extent to which review of that interlocutory order by the board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282—11.27</w:t>
      </w:r>
      <w:r>
        <w:rPr>
          <w:rFonts w:ascii="Times New Roman" w:hAnsi="Times New Roman"/>
          <w:b/>
          <w:i w:val="false"/>
          <w:color w:val="000000"/>
          <w:sz w:val="22"/>
        </w:rPr>
        <w:t xml:space="preserve">(17A,256)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11.27(1)</w:t>
      </w:r>
      <w:r>
        <w:rPr>
          <w:rFonts w:ascii="Times New Roman" w:hAnsi="Times New Roman"/>
          <w:b w:val="false"/>
          <w:i w:val="false"/>
          <w:color w:val="000000"/>
          <w:sz w:val="22"/>
        </w:rPr>
        <w:t> </w:t>
      </w:r>
      <w:r>
        <w:rPr>
          <w:rFonts w:ascii="Times New Roman" w:hAnsi="Times New Roman"/>
          <w:b w:val="false"/>
          <w:i w:val="false"/>
          <w:color w:val="000000"/>
          <w:sz w:val="22"/>
        </w:rPr>
        <w:t>When the board presides over the reception of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board does not preside at the reception of evidence, the presiding officer will make a proposed decision. The proposed decision becomes the final decision of the board without further proceedings unless there is an appeal to, or review on motion of, the board within the time provided in rule </w:t>
      </w:r>
      <w:hyperlink r:id="rId53">
        <w:r>
          <w:rPr>
            <w:rStyle w:val="Hyperlink"/>
            <w:rFonts w:ascii="Times New Roman" w:hAnsi="Times New Roman"/>
            <w:b w:val="false"/>
            <w:i w:val="false"/>
            <w:color w:val="000000"/>
            <w:sz w:val="22"/>
          </w:rPr>
          <w:t>282—11.28(17A,256)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282—11.28</w:t>
      </w:r>
      <w:r>
        <w:rPr>
          <w:rFonts w:ascii="Times New Roman" w:hAnsi="Times New Roman"/>
          <w:b/>
          <w:i w:val="false"/>
          <w:color w:val="000000"/>
          <w:sz w:val="22"/>
        </w:rPr>
        <w:t xml:space="preserve">(17A,256)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cite any applicable legal authority and specify relevant portions of the record in that proceeding. Written requests to present oral argument will be filed with the briefs.</w:t>
      </w:r>
    </w:p>
    <w:p>
      <w:pPr>
        <w:spacing w:before="0" w:after="0"/>
        <w:ind w:left="120"/>
        <w:jc w:val="both"/>
      </w:pPr>
      <w:r>
        <w:rPr>
          <w:rFonts w:ascii="Times New Roman" w:hAnsi="Times New Roman"/>
          <w:b w:val="false"/>
          <w:i w:val="false"/>
          <w:color w:val="000000"/>
          <w:sz w:val="22"/>
        </w:rPr>
        <w:t>The board may resolve the appeal on the briefs or provide an opportunity for oral argument. The board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282—11.29</w:t>
      </w:r>
      <w:r>
        <w:rPr>
          <w:rFonts w:ascii="Times New Roman" w:hAnsi="Times New Roman"/>
          <w:b/>
          <w:i w:val="false"/>
          <w:color w:val="000000"/>
          <w:sz w:val="22"/>
        </w:rPr>
        <w:t xml:space="preserve">(17A,256)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will state on whose behalf it is filed, the specific grounds for rehearing, and the relief sought. In addition, the application will state whether the applicant desires reconsideration of all or part of the board decision on the existing record and whether, on the basis of the grounds enumerated in subrule </w:t>
      </w:r>
      <w:hyperlink r:id="rId54">
        <w:r>
          <w:rPr>
            <w:rStyle w:val="Hyperlink"/>
            <w:rFonts w:ascii="Times New Roman" w:hAnsi="Times New Roman"/>
            <w:b w:val="false"/>
            <w:i w:val="false"/>
            <w:color w:val="000000"/>
            <w:sz w:val="22"/>
          </w:rPr>
          <w:t>11.28(4)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will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will be timely mailed by the applicant to all parties of record not joining therein. If the application does not contain a certificate of service, the board will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will be deemed denied unless the board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282—11.30</w:t>
      </w:r>
      <w:r>
        <w:rPr>
          <w:rFonts w:ascii="Times New Roman" w:hAnsi="Times New Roman"/>
          <w:b/>
          <w:i w:val="false"/>
          <w:color w:val="000000"/>
          <w:sz w:val="22"/>
        </w:rPr>
        <w:t xml:space="preserve">(17A,256)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will be filed with the notice of appeal and will state the reasons justifying a stay or other temporary remedy. The executive director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or other temporary remedies pending judicial review of all or part of that proceeding. The petition will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executive director or presiding officer will consider the factors listed in Iowa Code section </w:t>
      </w:r>
      <w:hyperlink r:id="rId55">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282—11.31</w:t>
      </w:r>
      <w:r>
        <w:rPr>
          <w:rFonts w:ascii="Times New Roman" w:hAnsi="Times New Roman"/>
          <w:b/>
          <w:i w:val="false"/>
          <w:color w:val="000000"/>
          <w:sz w:val="22"/>
        </w:rPr>
        <w:t xml:space="preserve">(17A,256)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282—11.32</w:t>
      </w:r>
      <w:r>
        <w:rPr>
          <w:rFonts w:ascii="Times New Roman" w:hAnsi="Times New Roman"/>
          <w:b/>
          <w:i w:val="false"/>
          <w:color w:val="000000"/>
          <w:sz w:val="22"/>
        </w:rPr>
        <w:t xml:space="preserve">(17A,256)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may issue a written order in compliance with Iowa Code section </w:t>
      </w:r>
      <w:hyperlink r:id="rId56">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 Before issuing an emergency adjudicative order, the board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to justify the determination of an immediate danger in the board’s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board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board will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will include notification of the date on which board proceedings are scheduled for completion. After issuance of an emergency adjudicative order, continuance of further board proceedings to a later date will be granted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282—11.33</w:t>
      </w:r>
      <w:r>
        <w:rPr>
          <w:rFonts w:ascii="Times New Roman" w:hAnsi="Times New Roman"/>
          <w:b/>
          <w:i w:val="false"/>
          <w:color w:val="000000"/>
          <w:sz w:val="22"/>
        </w:rPr>
        <w:t xml:space="preserve">(256) </w:t>
      </w:r>
      <w:r>
        <w:rPr>
          <w:rFonts w:ascii="Times New Roman" w:hAnsi="Times New Roman"/>
          <w:b/>
          <w:i w:val="false"/>
          <w:color w:val="000000"/>
          <w:sz w:val="22"/>
        </w:rPr>
        <w:t xml:space="preserve">Methods of discipline.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Revoke a practitioner’s license, certificate or authorization.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Suspend a practitioner’s license, certificate or authorization until further order of the board or for a specific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Prohibit permanently, until further order of the board, or for a specific period, a practitioner from engaging in specified practices, methods, or 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Issue a public letter of reprimand.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Order any other resolution appropriate to the circumstances of the case.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Impose fees as provided in Iowa Code section </w:t>
      </w:r>
      <w:hyperlink r:id="rId57">
        <w:r>
          <w:rPr>
            <w:rStyle w:val="Hyperlink"/>
            <w:rFonts w:ascii="Times New Roman" w:hAnsi="Times New Roman"/>
            <w:b w:val="false"/>
            <w:i w:val="false"/>
            <w:color w:val="000000"/>
            <w:sz w:val="22"/>
          </w:rPr>
          <w:t>256.146(22).</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282—11.34</w:t>
      </w:r>
      <w:r>
        <w:rPr>
          <w:rFonts w:ascii="Times New Roman" w:hAnsi="Times New Roman"/>
          <w:b/>
          <w:i w:val="false"/>
          <w:color w:val="000000"/>
          <w:sz w:val="22"/>
        </w:rPr>
        <w:t xml:space="preserve">(256) </w:t>
      </w:r>
      <w:r>
        <w:rPr>
          <w:rFonts w:ascii="Times New Roman" w:hAnsi="Times New Roman"/>
          <w:b/>
          <w:i w:val="false"/>
          <w:color w:val="000000"/>
          <w:sz w:val="22"/>
        </w:rPr>
        <w:t xml:space="preserve">Reinstatement. </w:t>
      </w:r>
      <w:r>
        <w:rPr>
          <w:rFonts w:ascii="Times New Roman" w:hAnsi="Times New Roman"/>
          <w:b w:val="false"/>
          <w:i w:val="false"/>
          <w:color w:val="000000"/>
          <w:sz w:val="22"/>
        </w:rPr>
        <w:t>Any person whose license, certificate or authorization to practice has been suspended may apply to the board for reinstatement in accordance with the terms and conditions of the order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will be initiated by the respondent, who will file with the board an application for reinstatement. Such application will be docketed in the original case in which the license, certificate or authorization was suspended. All proceedings upon the application for reinstatement will be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11.34(2)</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will allege facts that, if established, will be sufficient to enable the board to determine that the basis for the suspension of the respondent’s license, certificate or authorization no longer exists and that it will be in the public interest for the license, certificate or authorization to be reinstated. The burden of proof to establish such facts will be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11.34(3)</w:t>
      </w:r>
      <w:r>
        <w:rPr>
          <w:rFonts w:ascii="Times New Roman" w:hAnsi="Times New Roman"/>
          <w:b w:val="false"/>
          <w:i w:val="false"/>
          <w:color w:val="000000"/>
          <w:sz w:val="22"/>
        </w:rPr>
        <w:t> </w:t>
      </w:r>
      <w:r>
        <w:rPr>
          <w:rFonts w:ascii="Times New Roman" w:hAnsi="Times New Roman"/>
          <w:b w:val="false"/>
          <w:i w:val="false"/>
          <w:color w:val="000000"/>
          <w:sz w:val="22"/>
        </w:rPr>
        <w:t>An order denying or granting reinstatement will be based upon a decision that incorporates findings of fact and conclusions of law. The board may grant reinstatement with or without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282—11.35</w:t>
      </w:r>
      <w:r>
        <w:rPr>
          <w:rFonts w:ascii="Times New Roman" w:hAnsi="Times New Roman"/>
          <w:b/>
          <w:i w:val="false"/>
          <w:color w:val="000000"/>
          <w:sz w:val="22"/>
        </w:rPr>
        <w:t xml:space="preserve">(256) </w:t>
      </w:r>
      <w:r>
        <w:rPr>
          <w:rFonts w:ascii="Times New Roman" w:hAnsi="Times New Roman"/>
          <w:b/>
          <w:i w:val="false"/>
          <w:color w:val="000000"/>
          <w:sz w:val="22"/>
        </w:rPr>
        <w:t xml:space="preserve">Application denial and appeal. </w:t>
      </w:r>
      <w:r>
        <w:rPr>
          <w:rFonts w:ascii="Times New Roman" w:hAnsi="Times New Roman"/>
          <w:b w:val="false"/>
          <w:i w:val="false"/>
          <w:color w:val="000000"/>
          <w:sz w:val="22"/>
        </w:rPr>
        <w:t xml:space="preserve">The executive director is authorized by Iowa Code section </w:t>
      </w:r>
      <w:hyperlink r:id="rId58">
        <w:r>
          <w:rPr>
            <w:rStyle w:val="Hyperlink"/>
            <w:rFonts w:ascii="Times New Roman" w:hAnsi="Times New Roman"/>
            <w:b w:val="false"/>
            <w:i w:val="false"/>
            <w:color w:val="000000"/>
            <w:sz w:val="22"/>
          </w:rPr>
          <w:t>256.151</w:t>
        </w:r>
      </w:hyperlink>
      <w:r>
        <w:rPr>
          <w:rFonts w:ascii="Times New Roman" w:hAnsi="Times New Roman"/>
          <w:b w:val="false"/>
          <w:i w:val="false"/>
          <w:color w:val="000000"/>
          <w:sz w:val="22"/>
        </w:rPr>
        <w:t xml:space="preserve"> to grant or deny applications for licensure. If the executive director denies an application for a license, certificate, or authorization, the executive director will send to the applicant by regular first-class mail written notice identifying the factual and legal basis for denying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w:t>
      </w:r>
      <w:r>
        <w:rPr>
          <w:rFonts w:ascii="Times New Roman" w:hAnsi="Times New Roman"/>
          <w:b w:val="false"/>
          <w:i w:val="false"/>
          <w:color w:val="000000"/>
          <w:sz w:val="22"/>
        </w:rPr>
        <w:t> </w:t>
      </w:r>
      <w:r>
        <w:rPr>
          <w:rFonts w:ascii="Times New Roman" w:hAnsi="Times New Roman"/>
          <w:b w:val="false"/>
          <w:i/>
          <w:color w:val="000000"/>
          <w:sz w:val="22"/>
        </w:rPr>
        <w:t xml:space="preserve">Mandatory grounds for license denial. </w:t>
      </w:r>
      <w:r>
        <w:rPr>
          <w:rFonts w:ascii="Times New Roman" w:hAnsi="Times New Roman"/>
          <w:b w:val="false"/>
          <w:i w:val="false"/>
          <w:color w:val="000000"/>
          <w:sz w:val="22"/>
        </w:rPr>
        <w:t xml:space="preserve">The executive director will deny an application based on the grounds set forth in Iowa Code section </w:t>
      </w:r>
      <w:hyperlink r:id="rId59">
        <w:r>
          <w:rPr>
            <w:rStyle w:val="Hyperlink"/>
            <w:rFonts w:ascii="Times New Roman" w:hAnsi="Times New Roman"/>
            <w:b w:val="false"/>
            <w:i w:val="false"/>
            <w:color w:val="000000"/>
            <w:sz w:val="22"/>
          </w:rPr>
          <w:t>256.146(13)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11.35(2)</w:t>
      </w:r>
      <w:r>
        <w:rPr>
          <w:rFonts w:ascii="Times New Roman" w:hAnsi="Times New Roman"/>
          <w:b w:val="false"/>
          <w:i w:val="false"/>
          <w:color w:val="000000"/>
          <w:sz w:val="22"/>
        </w:rPr>
        <w:t> </w:t>
      </w:r>
      <w:r>
        <w:rPr>
          <w:rFonts w:ascii="Times New Roman" w:hAnsi="Times New Roman"/>
          <w:b w:val="false"/>
          <w:i/>
          <w:color w:val="000000"/>
          <w:sz w:val="22"/>
        </w:rPr>
        <w:t xml:space="preserve">Conviction of a crime and founded child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Disqualifying criminal convictions. </w:t>
      </w:r>
      <w:r>
        <w:rPr>
          <w:rFonts w:ascii="Times New Roman" w:hAnsi="Times New Roman"/>
          <w:b w:val="false"/>
          <w:i w:val="false"/>
          <w:color w:val="000000"/>
          <w:sz w:val="22"/>
        </w:rPr>
        <w:t xml:space="preserve">The board shall deny an application for licensure pursuant to Iowa Code section </w:t>
      </w:r>
      <w:hyperlink r:id="rId60">
        <w:r>
          <w:rPr>
            <w:rStyle w:val="Hyperlink"/>
            <w:rFonts w:ascii="Times New Roman" w:hAnsi="Times New Roman"/>
            <w:b w:val="false"/>
            <w:i w:val="false"/>
            <w:color w:val="000000"/>
            <w:sz w:val="22"/>
          </w:rPr>
          <w:t>256.146(13),</w:t>
        </w:r>
      </w:hyperlink>
      <w:r>
        <w:rPr>
          <w:rFonts w:ascii="Times New Roman" w:hAnsi="Times New Roman"/>
          <w:b w:val="false"/>
          <w:i w:val="false"/>
          <w:color w:val="000000"/>
          <w:sz w:val="22"/>
        </w:rPr>
        <w:t xml:space="preserve"> regardless of whether the judgment of conviction or sentence was deferred.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criminal convictions and founded child abuse. </w:t>
      </w:r>
      <w:r>
        <w:rPr>
          <w:rFonts w:ascii="Times New Roman" w:hAnsi="Times New Roman"/>
          <w:b w:val="false"/>
          <w:i w:val="false"/>
          <w:color w:val="000000"/>
          <w:sz w:val="22"/>
        </w:rPr>
        <w:t>When determining whether a person should be denied licensure based on the conviction of any other crime, including a felony, or a founded report of child abuse, the executive director and the board will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abuse in relation to the position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 that has taken place since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the same crime or abuse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criminal convictions or founded abuses committed;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Such additional factors as may in a particular case demonstrate mitigating circumstances or heightened risk to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11.35(3)</w:t>
      </w:r>
      <w:r>
        <w:rPr>
          <w:rFonts w:ascii="Times New Roman" w:hAnsi="Times New Roman"/>
          <w:b w:val="false"/>
          <w:i w:val="false"/>
          <w:color w:val="000000"/>
          <w:sz w:val="22"/>
        </w:rPr>
        <w:t> </w:t>
      </w:r>
      <w:r>
        <w:rPr>
          <w:rFonts w:ascii="Times New Roman" w:hAnsi="Times New Roman"/>
          <w:b w:val="false"/>
          <w:i/>
          <w:color w:val="000000"/>
          <w:sz w:val="22"/>
        </w:rPr>
        <w:t xml:space="preserve">Speech and intellectual freedom protections. </w:t>
      </w:r>
      <w:r>
        <w:rPr>
          <w:rFonts w:ascii="Times New Roman" w:hAnsi="Times New Roman"/>
          <w:b w:val="false"/>
          <w:i w:val="false"/>
          <w:color w:val="000000"/>
          <w:sz w:val="22"/>
        </w:rPr>
        <w:t xml:space="preserve">The board may deny a license to or revoke the license of a person upon the board’s finding by a preponderance of evidence that the person knowingly and intentionally discriminated against a student in violation of Iowa Code section </w:t>
      </w:r>
      <w:hyperlink r:id="rId61">
        <w:r>
          <w:rPr>
            <w:rStyle w:val="Hyperlink"/>
            <w:rFonts w:ascii="Times New Roman" w:hAnsi="Times New Roman"/>
            <w:b w:val="false"/>
            <w:i w:val="false"/>
            <w:color w:val="000000"/>
            <w:sz w:val="22"/>
          </w:rPr>
          <w:t>261H.2(3) </w:t>
        </w:r>
      </w:hyperlink>
      <w:r>
        <w:rPr>
          <w:rFonts w:ascii="Times New Roman" w:hAnsi="Times New Roman"/>
          <w:b w:val="false"/>
          <w:i w:val="false"/>
          <w:color w:val="000000"/>
          <w:sz w:val="22"/>
        </w:rPr>
        <w:t xml:space="preserve">or </w:t>
      </w:r>
      <w:hyperlink r:id="rId62">
        <w:r>
          <w:rPr>
            <w:rStyle w:val="Hyperlink"/>
            <w:rFonts w:ascii="Times New Roman" w:hAnsi="Times New Roman"/>
            <w:b w:val="false"/>
            <w:i w:val="false"/>
            <w:color w:val="000000"/>
            <w:sz w:val="22"/>
          </w:rPr>
          <w:t>279.73.</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11.35(4)</w:t>
      </w:r>
      <w:r>
        <w:rPr>
          <w:rFonts w:ascii="Times New Roman" w:hAnsi="Times New Roman"/>
          <w:b w:val="false"/>
          <w:i w:val="false"/>
          <w:color w:val="000000"/>
          <w:sz w:val="22"/>
        </w:rPr>
        <w:t> </w:t>
      </w:r>
      <w:r>
        <w:rPr>
          <w:rFonts w:ascii="Times New Roman" w:hAnsi="Times New Roman"/>
          <w:b w:val="false"/>
          <w:i/>
          <w:color w:val="000000"/>
          <w:sz w:val="22"/>
        </w:rPr>
        <w:t xml:space="preserve">Fraudulent applications. </w:t>
      </w:r>
      <w:r>
        <w:rPr>
          <w:rFonts w:ascii="Times New Roman" w:hAnsi="Times New Roman"/>
          <w:b w:val="false"/>
          <w:i w:val="false"/>
          <w:color w:val="000000"/>
          <w:sz w:val="22"/>
        </w:rPr>
        <w:t xml:space="preserve">An application will be considered fraudulent pursuant to Iowa Code section </w:t>
      </w:r>
      <w:hyperlink r:id="rId63">
        <w:r>
          <w:rPr>
            <w:rStyle w:val="Hyperlink"/>
            <w:rFonts w:ascii="Times New Roman" w:hAnsi="Times New Roman"/>
            <w:b w:val="false"/>
            <w:i w:val="false"/>
            <w:color w:val="000000"/>
            <w:sz w:val="22"/>
          </w:rPr>
          <w:t>256.146(13)</w:t>
        </w:r>
      </w:hyperlink>
      <w:r>
        <w:rPr>
          <w:rFonts w:ascii="Times New Roman" w:hAnsi="Times New Roman"/>
          <w:b w:val="false"/>
          <w:i/>
          <w:color w:val="000000"/>
          <w:sz w:val="22"/>
        </w:rPr>
        <w:t>“b”</w:t>
      </w:r>
      <w:r>
        <w:rPr>
          <w:rFonts w:ascii="Times New Roman" w:hAnsi="Times New Roman"/>
          <w:b w:val="false"/>
          <w:i w:val="false"/>
          <w:color w:val="000000"/>
          <w:sz w:val="22"/>
        </w:rPr>
        <w:t xml:space="preserve">(2) if it contains any false representation of a material fact or any omission of a material fact that should have been disclosed at the time of application for licensure or is submitted with a false or forged diploma, certificate, affidavit, identification, or other document material to the applicant’s qualification for licensure or material to any of the grounds for denial set forth in Iowa Code section </w:t>
      </w:r>
      <w:hyperlink r:id="rId64">
        <w:r>
          <w:rPr>
            <w:rStyle w:val="Hyperlink"/>
            <w:rFonts w:ascii="Times New Roman" w:hAnsi="Times New Roman"/>
            <w:b w:val="false"/>
            <w:i w:val="false"/>
            <w:color w:val="000000"/>
            <w:sz w:val="22"/>
          </w:rPr>
          <w:t>256.146(13)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11.35(5)</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denial of an application for licensure and who desires to challenge the decision of the executive director must appeal the decision and request a hearing before the board within 30 calendar days of the date the notice of license denial is mailed. An appeal and request for hearing must be in writing and is deemed made on the date of the United States Postal Service nonmetered postmark or the date of personal service to the board office. The request for hearing will specify the factual or legal errors the applicant contends were made by the executive director, must identify any factual disputes upon which the applicant desires an evidentiary hearing, and may provide additional written information or documents in support of licensure. If a request for hearing is timely made, the executive director will promptly issue a notice of contested case hearing on the grounds asserted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in its discretion, may act as presiding officer at the contested case hearing, may hold the hearing before a panel of three board members, or may request that an administrative law judge act as presiding officer. The applicant may request that an administrative law judge act as presiding officer and render a proposed decision pursuant to rule </w:t>
      </w:r>
      <w:hyperlink r:id="rId65">
        <w:r>
          <w:rPr>
            <w:rStyle w:val="Hyperlink"/>
            <w:rFonts w:ascii="Times New Roman" w:hAnsi="Times New Roman"/>
            <w:b w:val="false"/>
            <w:i w:val="false"/>
            <w:color w:val="000000"/>
            <w:sz w:val="22"/>
          </w:rPr>
          <w:t>282—11.8(17A,256)</w:t>
        </w:r>
      </w:hyperlink>
      <w:r>
        <w:rPr>
          <w:rFonts w:ascii="Times New Roman" w:hAnsi="Times New Roman"/>
          <w:b w:val="false"/>
          <w:i w:val="false"/>
          <w:color w:val="000000"/>
          <w:sz w:val="22"/>
        </w:rPr>
        <w:t xml:space="preserve">. A proposed decision by a panel of board members or an administrative law judge is subject to appeal or review by the board pursuant to rule </w:t>
      </w:r>
      <w:hyperlink r:id="rId66">
        <w:r>
          <w:rPr>
            <w:rStyle w:val="Hyperlink"/>
            <w:rFonts w:ascii="Times New Roman" w:hAnsi="Times New Roman"/>
            <w:b w:val="false"/>
            <w:i w:val="false"/>
            <w:color w:val="000000"/>
            <w:sz w:val="22"/>
          </w:rPr>
          <w:t>282—11.28(17A,256)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Hearings concerning licensure denial will be conducted according to the contested case procedural rules in this chapter. Evidence supporting the denial of the license may be presented by an assistant attorney general. While each party will have the burden of establishing the affirmative of matters asserted, the applicant will have the ultimate burden of persuasion as to the applicant’s qualification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appeal, the board may grant or deny the application for licensure. If the application for licensure is denied, the board will state the reason or reasons for the denial and may state conditions under which the application could be granted,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11.35(6)</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a final order of the board denying licensure may be sought in accordance with the provisions of Iowa Code section </w:t>
      </w:r>
      <w:hyperlink r:id="rId6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 agency’s final decision in a contested case. In order to exhaust administrative remedies, an applicant aggrieved by the executive director’s denial of an application for licensure must timely appeal the adverse decision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282—11.36</w:t>
      </w:r>
      <w:r>
        <w:rPr>
          <w:rFonts w:ascii="Times New Roman" w:hAnsi="Times New Roman"/>
          <w:b/>
          <w:i w:val="false"/>
          <w:color w:val="000000"/>
          <w:sz w:val="22"/>
        </w:rPr>
        <w:t xml:space="preserve">(256) </w:t>
      </w:r>
      <w:r>
        <w:rPr>
          <w:rFonts w:ascii="Times New Roman" w:hAnsi="Times New Roman"/>
          <w:b/>
          <w:i w:val="false"/>
          <w:color w:val="000000"/>
          <w:sz w:val="22"/>
        </w:rPr>
        <w:t xml:space="preserve">Denial of renewal application. </w:t>
      </w:r>
      <w:r>
        <w:rPr>
          <w:rFonts w:ascii="Times New Roman" w:hAnsi="Times New Roman"/>
          <w:b w:val="false"/>
          <w:i w:val="false"/>
          <w:color w:val="000000"/>
          <w:sz w:val="22"/>
        </w:rPr>
        <w:t xml:space="preserve">If the executive director denies an application to renew a license, certificate or authorization, a notice of hearing will be issued to commence a contested case proceeding. The executive director may deny a renewal application on the same grounds as those that apply to an application for licensure described in subrules </w:t>
      </w:r>
      <w:hyperlink r:id="rId68">
        <w:r>
          <w:rPr>
            <w:rStyle w:val="Hyperlink"/>
            <w:rFonts w:ascii="Times New Roman" w:hAnsi="Times New Roman"/>
            <w:b w:val="false"/>
            <w:i w:val="false"/>
            <w:color w:val="000000"/>
            <w:sz w:val="22"/>
          </w:rPr>
          <w:t>11.35(1) through 11.35(4)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11.36(1)</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 </w:t>
      </w:r>
      <w:r>
        <w:rPr>
          <w:rFonts w:ascii="Times New Roman" w:hAnsi="Times New Roman"/>
          <w:b w:val="false"/>
          <w:i w:val="false"/>
          <w:color w:val="000000"/>
          <w:sz w:val="22"/>
        </w:rPr>
        <w:t>Hearings on denial of an application to renew a license will be conducted according to the contested case procedural rules in this chapter. Evidence supporting the denial of the license may be presented by an assistant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11.36(2)</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a final order of the board denying renewal of licensure may be sought in accordance with the provisions of Iowa Code section </w:t>
      </w:r>
      <w:hyperlink r:id="rId6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 agency’s final decision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11.36(3)</w:t>
      </w:r>
      <w:r>
        <w:rPr>
          <w:rFonts w:ascii="Times New Roman" w:hAnsi="Times New Roman"/>
          <w:b w:val="false"/>
          <w:i w:val="false"/>
          <w:color w:val="000000"/>
          <w:sz w:val="22"/>
        </w:rPr>
        <w:t> </w:t>
      </w:r>
      <w:r>
        <w:rPr>
          <w:rFonts w:ascii="Times New Roman" w:hAnsi="Times New Roman"/>
          <w:b w:val="false"/>
          <w:i/>
          <w:color w:val="000000"/>
          <w:sz w:val="22"/>
        </w:rPr>
        <w:t xml:space="preserve">Impact of denial of renewal application. </w:t>
      </w:r>
      <w:r>
        <w:rPr>
          <w:rFonts w:ascii="Times New Roman" w:hAnsi="Times New Roman"/>
          <w:b w:val="false"/>
          <w:i w:val="false"/>
          <w:color w:val="000000"/>
          <w:sz w:val="22"/>
        </w:rPr>
        <w:t xml:space="preserve">Pursuant to Iowa Code section </w:t>
      </w:r>
      <w:hyperlink r:id="rId70">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if the licensee has made timely and sufficient application for renewal, an existing license will not expire until the last day for seeking judicial review of the board’s final order denying the application or a later date fixed by order of the board or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11.36(4)</w:t>
      </w:r>
      <w:r>
        <w:rPr>
          <w:rFonts w:ascii="Times New Roman" w:hAnsi="Times New Roman"/>
          <w:b w:val="false"/>
          <w:i w:val="false"/>
          <w:color w:val="000000"/>
          <w:sz w:val="22"/>
        </w:rPr>
        <w:t> </w:t>
      </w:r>
      <w:r>
        <w:rPr>
          <w:rFonts w:ascii="Times New Roman" w:hAnsi="Times New Roman"/>
          <w:b w:val="false"/>
          <w:i/>
          <w:color w:val="000000"/>
          <w:sz w:val="22"/>
        </w:rPr>
        <w:t xml:space="preserve">Timeliness of renewal application. </w:t>
      </w:r>
      <w:r>
        <w:rPr>
          <w:rFonts w:ascii="Times New Roman" w:hAnsi="Times New Roman"/>
          <w:b w:val="false"/>
          <w:i w:val="false"/>
          <w:color w:val="000000"/>
          <w:sz w:val="22"/>
        </w:rPr>
        <w:t xml:space="preserve">Within the meaning of Iowa Code section </w:t>
      </w:r>
      <w:hyperlink r:id="rId71">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on or before the date the license is set to expire or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by the licensee and certified as accurate if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Accompanied by the proper fee. The fee will be deemed improper if the amount is incorrect, the fee was not included with the application, or the licensee’s check is unsigned or returned for insufficient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282—11.37</w:t>
      </w:r>
      <w:r>
        <w:rPr>
          <w:rFonts w:ascii="Times New Roman" w:hAnsi="Times New Roman"/>
          <w:b/>
          <w:i w:val="false"/>
          <w:color w:val="000000"/>
          <w:sz w:val="22"/>
        </w:rPr>
        <w:t xml:space="preserve">(256) </w:t>
      </w:r>
      <w:r>
        <w:rPr>
          <w:rFonts w:ascii="Times New Roman" w:hAnsi="Times New Roman"/>
          <w:b/>
          <w:i w:val="false"/>
          <w:color w:val="000000"/>
          <w:sz w:val="22"/>
        </w:rPr>
        <w:t xml:space="preserve">Required reports. </w:t>
      </w:r>
      <w:r>
        <w:rPr>
          <w:rFonts w:ascii="Times New Roman" w:hAnsi="Times New Roman"/>
          <w:b w:val="false"/>
          <w:i w:val="false"/>
          <w:color w:val="000000"/>
          <w:sz w:val="22"/>
        </w:rPr>
        <w:t xml:space="preserve">Reports are required to be made pursuant to Iowa Code sections </w:t>
      </w:r>
      <w:hyperlink r:id="rId72">
        <w:r>
          <w:rPr>
            <w:rStyle w:val="Hyperlink"/>
            <w:rFonts w:ascii="Times New Roman" w:hAnsi="Times New Roman"/>
            <w:b w:val="false"/>
            <w:i w:val="false"/>
            <w:color w:val="000000"/>
            <w:sz w:val="22"/>
          </w:rPr>
          <w:t>256.146</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256.160</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279.73.</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282—11.38</w:t>
      </w:r>
      <w:r>
        <w:rPr>
          <w:rFonts w:ascii="Times New Roman" w:hAnsi="Times New Roman"/>
          <w:b/>
          <w:i w:val="false"/>
          <w:color w:val="000000"/>
          <w:sz w:val="22"/>
        </w:rPr>
        <w:t xml:space="preserve">(256) </w:t>
      </w:r>
      <w:r>
        <w:rPr>
          <w:rFonts w:ascii="Times New Roman" w:hAnsi="Times New Roman"/>
          <w:b/>
          <w:i w:val="false"/>
          <w:color w:val="000000"/>
          <w:sz w:val="22"/>
        </w:rPr>
        <w:t xml:space="preserve">Denial of application during a pending professional practices case. </w:t>
      </w:r>
      <w:r>
        <w:rPr>
          <w:rFonts w:ascii="Times New Roman" w:hAnsi="Times New Roman"/>
          <w:b w:val="false"/>
          <w:i w:val="false"/>
          <w:color w:val="000000"/>
          <w:sz w:val="22"/>
        </w:rPr>
        <w:t>The executive director may deny an application for a license, authorization, certificate, or statement of recognition if the applicant is currently under investigation and probable cause has been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7/12/73; amendment filed 10/6/75—published 10/20/75, effective 11/24/75]</w:t>
      </w:r>
    </w:p>
    <w:p>
      <w:pPr>
        <w:spacing w:before="0" w:after="0"/>
        <w:ind w:left="120"/>
        <w:jc w:val="center"/>
      </w:pPr>
      <w:r>
        <w:rPr>
          <w:rFonts w:ascii="Times New Roman" w:hAnsi="Times New Roman"/>
          <w:b w:val="false"/>
          <w:i w:val="false"/>
          <w:color w:val="000000"/>
          <w:sz w:val="21"/>
        </w:rPr>
        <w:t>[Filed emergency 4/2/86—published 4/23/86, effective 4/23/86]</w:t>
      </w:r>
    </w:p>
    <w:p>
      <w:pPr>
        <w:spacing w:before="0" w:after="0"/>
        <w:ind w:left="120"/>
        <w:jc w:val="center"/>
      </w:pPr>
      <w:r>
        <w:rPr>
          <w:rFonts w:ascii="Times New Roman" w:hAnsi="Times New Roman"/>
          <w:b w:val="false"/>
          <w:i w:val="false"/>
          <w:color w:val="000000"/>
          <w:sz w:val="21"/>
        </w:rPr>
        <w:t>[Filed emergency 5/25/88—published 6/15/88, effective 5/25/88]</w:t>
      </w:r>
    </w:p>
    <w:p>
      <w:pPr>
        <w:spacing w:before="0" w:after="0"/>
        <w:ind w:left="120"/>
        <w:jc w:val="center"/>
      </w:pPr>
      <w:r>
        <w:rPr>
          <w:rFonts w:ascii="Times New Roman" w:hAnsi="Times New Roman"/>
          <w:b w:val="false"/>
          <w:i w:val="false"/>
          <w:color w:val="000000"/>
          <w:sz w:val="21"/>
        </w:rPr>
        <w:t>[Filed emergency 4/26/90—published 5/16/90, effective 4/27/90]</w:t>
      </w:r>
    </w:p>
    <w:p>
      <w:pPr>
        <w:spacing w:before="0" w:after="0"/>
        <w:ind w:left="120"/>
        <w:jc w:val="center"/>
      </w:pPr>
      <w:r>
        <w:rPr>
          <w:rFonts w:ascii="Times New Roman" w:hAnsi="Times New Roman"/>
          <w:b w:val="false"/>
          <w:i w:val="false"/>
          <w:color w:val="000000"/>
          <w:sz w:val="21"/>
        </w:rPr>
        <w:t>[Filed 5/20/92, Notice 2/19/92—published 6/10/92, effective 7/15/92]</w:t>
      </w:r>
    </w:p>
    <w:p>
      <w:pPr>
        <w:spacing w:before="0" w:after="0"/>
        <w:ind w:left="120"/>
        <w:jc w:val="center"/>
      </w:pPr>
      <w:r>
        <w:rPr>
          <w:rFonts w:ascii="Times New Roman" w:hAnsi="Times New Roman"/>
          <w:b w:val="false"/>
          <w:i w:val="false"/>
          <w:color w:val="000000"/>
          <w:sz w:val="21"/>
        </w:rPr>
        <w:t>[Filed 1/12/96, Notice 10/25/95—published 1/31/96, effective 3/6/96]</w:t>
      </w:r>
    </w:p>
    <w:p>
      <w:pPr>
        <w:spacing w:before="0" w:after="0"/>
        <w:ind w:left="120"/>
        <w:jc w:val="center"/>
      </w:pPr>
      <w:r>
        <w:rPr>
          <w:rFonts w:ascii="Times New Roman" w:hAnsi="Times New Roman"/>
          <w:b w:val="false"/>
          <w:i w:val="false"/>
          <w:color w:val="000000"/>
          <w:sz w:val="21"/>
        </w:rPr>
        <w:t>[Filed 1/21/00, Notice 10/6/99—published 2/9/00, effective 3/15/00]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3/16/01, Notice 1/10/01—published 4/4/01, effective 5/9/01]</w:t>
      </w:r>
    </w:p>
    <w:p>
      <w:pPr>
        <w:spacing w:before="0" w:after="0"/>
        <w:ind w:left="120"/>
        <w:jc w:val="center"/>
      </w:pPr>
      <w:r>
        <w:rPr>
          <w:rFonts w:ascii="Times New Roman" w:hAnsi="Times New Roman"/>
          <w:b w:val="false"/>
          <w:i w:val="false"/>
          <w:color w:val="000000"/>
          <w:sz w:val="21"/>
        </w:rPr>
        <w:t>[Filed 11/21/01, Notice 8/8/01—published 12/12/01, effective 1/16/02]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5/23/03, Notice 12/11/02—published 6/11/03, effective 7/16/03]</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7/7/03, Notice 4/16/03—published 7/23/03, effective 8/27/03]</w:t>
      </w:r>
    </w:p>
    <w:p>
      <w:pPr>
        <w:spacing w:before="0" w:after="0"/>
        <w:ind w:left="120"/>
        <w:jc w:val="center"/>
      </w:pPr>
      <w:r>
        <w:rPr>
          <w:rFonts w:ascii="Times New Roman" w:hAnsi="Times New Roman"/>
          <w:b w:val="false"/>
          <w:i w:val="false"/>
          <w:color w:val="000000"/>
          <w:sz w:val="21"/>
        </w:rPr>
        <w:t>[Filed 1/30/04, Notice 11/12/03—published 2/18/04, effective 3/24/04]</w:t>
      </w:r>
    </w:p>
    <w:p>
      <w:pPr>
        <w:spacing w:before="0" w:after="0"/>
        <w:ind w:left="120"/>
        <w:jc w:val="center"/>
      </w:pPr>
      <w:r>
        <w:rPr>
          <w:rFonts w:ascii="Times New Roman" w:hAnsi="Times New Roman"/>
          <w:b w:val="false"/>
          <w:i w:val="false"/>
          <w:color w:val="000000"/>
          <w:sz w:val="21"/>
        </w:rPr>
        <w:t>[Filed 1/28/05, Notice 11/10/04—published 2/16/05, effective 3/23/05]</w:t>
      </w:r>
    </w:p>
    <w:p>
      <w:pPr>
        <w:spacing w:before="0" w:after="0"/>
        <w:ind w:left="120"/>
        <w:jc w:val="center"/>
      </w:pPr>
      <w:r>
        <w:rPr>
          <w:rFonts w:ascii="Times New Roman" w:hAnsi="Times New Roman"/>
          <w:b w:val="false"/>
          <w:i w:val="false"/>
          <w:color w:val="000000"/>
          <w:sz w:val="21"/>
        </w:rPr>
        <w:t>[Filed 11/14/07, Notice 9/12/07—published 12/5/07, effective 1/9/08]</w:t>
      </w:r>
    </w:p>
    <w:p>
      <w:pPr>
        <w:spacing w:before="0" w:after="0"/>
        <w:ind w:left="120"/>
        <w:jc w:val="center"/>
      </w:pPr>
      <w:r>
        <w:rPr>
          <w:rFonts w:ascii="Times New Roman" w:hAnsi="Times New Roman"/>
          <w:b w:val="false"/>
          <w:i w:val="false"/>
          <w:color w:val="000000"/>
          <w:sz w:val="21"/>
        </w:rPr>
        <w:t>[Filed 2/13/08, Notice 11/7/07—published 3/12/08, effective 4/16/08]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ARC 8406B</w:t>
      </w:r>
      <w:r>
        <w:rPr>
          <w:rFonts w:ascii="Times New Roman" w:hAnsi="Times New Roman"/>
          <w:b w:val="false"/>
          <w:i w:val="false"/>
          <w:color w:val="000000"/>
          <w:sz w:val="21"/>
        </w:rPr>
        <w:t xml:space="preserve"> (Notice ARC 8143B,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[Editorial change: IAC Supplement 1/27/10]</w:t>
      </w:r>
    </w:p>
    <w:p>
      <w:pPr>
        <w:spacing w:before="0" w:after="0"/>
        <w:ind w:left="120"/>
        <w:jc w:val="center"/>
      </w:pPr>
      <w:r>
        <w:rPr>
          <w:rFonts w:ascii="Times New Roman" w:hAnsi="Times New Roman"/>
          <w:b w:val="false"/>
          <w:i w:val="false"/>
          <w:color w:val="000000"/>
          <w:sz w:val="21"/>
        </w:rPr>
        <w:t>[Filed Emergency ARC 8823B, IAB 6/2/10, effective 5/14/10]</w:t>
      </w:r>
    </w:p>
    <w:p>
      <w:pPr>
        <w:spacing w:before="0" w:after="0"/>
        <w:ind w:left="120"/>
        <w:jc w:val="center"/>
      </w:pPr>
      <w:r>
        <w:rPr>
          <w:rFonts w:ascii="Times New Roman" w:hAnsi="Times New Roman"/>
          <w:b w:val="false"/>
          <w:i w:val="false"/>
          <w:color w:val="000000"/>
          <w:sz w:val="21"/>
        </w:rPr>
        <w:t>[Filed ARC 9209B</w:t>
      </w:r>
      <w:r>
        <w:rPr>
          <w:rFonts w:ascii="Times New Roman" w:hAnsi="Times New Roman"/>
          <w:b w:val="false"/>
          <w:i w:val="false"/>
          <w:color w:val="000000"/>
          <w:sz w:val="21"/>
        </w:rPr>
        <w:t xml:space="preserve"> (Notice ARC 8971B, IAB 7/28/10)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9659B</w:t>
      </w:r>
      <w:r>
        <w:rPr>
          <w:rFonts w:ascii="Times New Roman" w:hAnsi="Times New Roman"/>
          <w:b w:val="false"/>
          <w:i w:val="false"/>
          <w:color w:val="000000"/>
          <w:sz w:val="21"/>
        </w:rPr>
        <w:t xml:space="preserve"> (Notice ARC 9450B, IAB 4/6/11)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0025C</w:t>
      </w:r>
      <w:r>
        <w:rPr>
          <w:rFonts w:ascii="Times New Roman" w:hAnsi="Times New Roman"/>
          <w:b w:val="false"/>
          <w:i w:val="false"/>
          <w:color w:val="000000"/>
          <w:sz w:val="21"/>
        </w:rPr>
        <w:t xml:space="preserve"> (Notice ARC 9923B, IAB 12/14/11)</w:t>
      </w:r>
      <w:r>
        <w:rPr>
          <w:rFonts w:ascii="Times New Roman" w:hAnsi="Times New Roman"/>
          <w:b w:val="false"/>
          <w:i w:val="false"/>
          <w:color w:val="000000"/>
          <w:sz w:val="21"/>
        </w:rPr>
        <w:t>, IAB 3/7/12, effective 4/11/12]</w:t>
      </w:r>
      <w:r>
        <w:br/>
      </w:r>
      <w:r>
        <w:rPr>
          <w:rFonts w:ascii="Times New Roman" w:hAnsi="Times New Roman"/>
          <w:b w:val="false"/>
          <w:i w:val="false"/>
          <w:color w:val="000000"/>
          <w:sz w:val="21"/>
        </w:rPr>
        <w:t>[Filed ARC 0026C</w:t>
      </w:r>
      <w:r>
        <w:rPr>
          <w:rFonts w:ascii="Times New Roman" w:hAnsi="Times New Roman"/>
          <w:b w:val="false"/>
          <w:i w:val="false"/>
          <w:color w:val="000000"/>
          <w:sz w:val="21"/>
        </w:rPr>
        <w:t xml:space="preserve"> (Notice ARC 9924B, IAB 12/14/11)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0606C</w:t>
      </w:r>
      <w:r>
        <w:rPr>
          <w:rFonts w:ascii="Times New Roman" w:hAnsi="Times New Roman"/>
          <w:b w:val="false"/>
          <w:i w:val="false"/>
          <w:color w:val="000000"/>
          <w:sz w:val="21"/>
        </w:rPr>
        <w:t xml:space="preserve"> (Notice ARC 0494C, IAB 12/12/12)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0853C</w:t>
      </w:r>
      <w:r>
        <w:rPr>
          <w:rFonts w:ascii="Times New Roman" w:hAnsi="Times New Roman"/>
          <w:b w:val="false"/>
          <w:i w:val="false"/>
          <w:color w:val="000000"/>
          <w:sz w:val="21"/>
        </w:rPr>
        <w:t xml:space="preserve"> (Notice ARC 0677C, IAB 4/3/13)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1455C</w:t>
      </w:r>
      <w:r>
        <w:rPr>
          <w:rFonts w:ascii="Times New Roman" w:hAnsi="Times New Roman"/>
          <w:b w:val="false"/>
          <w:i w:val="false"/>
          <w:color w:val="000000"/>
          <w:sz w:val="21"/>
        </w:rPr>
        <w:t xml:space="preserve"> (Notice ARC 1344C, IAB 2/19/14)</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1543C</w:t>
      </w:r>
      <w:r>
        <w:rPr>
          <w:rFonts w:ascii="Times New Roman" w:hAnsi="Times New Roman"/>
          <w:b w:val="false"/>
          <w:i w:val="false"/>
          <w:color w:val="000000"/>
          <w:sz w:val="21"/>
        </w:rPr>
        <w:t xml:space="preserve"> (Notice ARC 1378C, IAB 3/19/14)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3196C</w:t>
      </w:r>
      <w:r>
        <w:rPr>
          <w:rFonts w:ascii="Times New Roman" w:hAnsi="Times New Roman"/>
          <w:b w:val="false"/>
          <w:i w:val="false"/>
          <w:color w:val="000000"/>
          <w:sz w:val="21"/>
        </w:rPr>
        <w:t xml:space="preserve"> (Notice ARC 3012C, IAB 4/12/17)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4633C</w:t>
      </w:r>
      <w:r>
        <w:rPr>
          <w:rFonts w:ascii="Times New Roman" w:hAnsi="Times New Roman"/>
          <w:b w:val="false"/>
          <w:i w:val="false"/>
          <w:color w:val="000000"/>
          <w:sz w:val="21"/>
        </w:rPr>
        <w:t xml:space="preserve"> (Notice ARC 4503C,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4699C</w:t>
      </w:r>
      <w:r>
        <w:rPr>
          <w:rFonts w:ascii="Times New Roman" w:hAnsi="Times New Roman"/>
          <w:b w:val="false"/>
          <w:i w:val="false"/>
          <w:color w:val="000000"/>
          <w:sz w:val="21"/>
        </w:rPr>
        <w:t xml:space="preserve"> (Notice ARC 4560C,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5320C</w:t>
      </w:r>
      <w:r>
        <w:rPr>
          <w:rFonts w:ascii="Times New Roman" w:hAnsi="Times New Roman"/>
          <w:b w:val="false"/>
          <w:i w:val="false"/>
          <w:color w:val="000000"/>
          <w:sz w:val="21"/>
        </w:rPr>
        <w:t xml:space="preserve"> (Notice ARC 5213C,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6129C</w:t>
      </w:r>
      <w:r>
        <w:rPr>
          <w:rFonts w:ascii="Times New Roman" w:hAnsi="Times New Roman"/>
          <w:b w:val="false"/>
          <w:i w:val="false"/>
          <w:color w:val="000000"/>
          <w:sz w:val="21"/>
        </w:rPr>
        <w:t xml:space="preserve"> (Notice ARC 5934C, IAB 10/6/21)</w:t>
      </w:r>
      <w:r>
        <w:rPr>
          <w:rFonts w:ascii="Times New Roman" w:hAnsi="Times New Roman"/>
          <w:b w:val="false"/>
          <w:i w:val="false"/>
          <w:color w:val="000000"/>
          <w:sz w:val="21"/>
        </w:rPr>
        <w:t>, IAB 1/12/22, effective 2/16/22]</w:t>
      </w:r>
      <w:r>
        <w:br/>
      </w:r>
      <w:r>
        <w:rPr>
          <w:rFonts w:ascii="Times New Roman" w:hAnsi="Times New Roman"/>
          <w:b w:val="false"/>
          <w:i w:val="false"/>
          <w:color w:val="000000"/>
          <w:sz w:val="21"/>
        </w:rPr>
        <w:t>[Filed ARC 6130C</w:t>
      </w:r>
      <w:r>
        <w:rPr>
          <w:rFonts w:ascii="Times New Roman" w:hAnsi="Times New Roman"/>
          <w:b w:val="false"/>
          <w:i w:val="false"/>
          <w:color w:val="000000"/>
          <w:sz w:val="21"/>
        </w:rPr>
        <w:t xml:space="preserve"> (Notice ARC 5938C,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7718C</w:t>
      </w:r>
      <w:r>
        <w:rPr>
          <w:rFonts w:ascii="Times New Roman" w:hAnsi="Times New Roman"/>
          <w:b w:val="false"/>
          <w:i w:val="false"/>
          <w:color w:val="000000"/>
          <w:sz w:val="21"/>
        </w:rPr>
        <w:t xml:space="preserve"> (Notice ARC 7194C, IAB 12/13/23)</w:t>
      </w:r>
      <w:r>
        <w:rPr>
          <w:rFonts w:ascii="Times New Roman" w:hAnsi="Times New Roman"/>
          <w:b w:val="false"/>
          <w:i w:val="false"/>
          <w:color w:val="000000"/>
          <w:sz w:val="21"/>
        </w:rPr>
        <w:t>, IAB 3/20/24, effective 4/24/24]</w:t>
      </w:r>
    </w:p>
    <w:p>
      <w:pPr>
        <w:spacing w:before="0" w:after="0"/>
        <w:ind w:left="120"/>
        <w:jc w:val="center"/>
      </w:pPr>
      <w:r>
        <w:rPr>
          <w:rFonts w:ascii="Times New Roman" w:hAnsi="Times New Roman"/>
          <w:b w:val="false"/>
          <w:i w:val="false"/>
          <w:color w:val="000000"/>
          <w:sz w:val="21"/>
        </w:rPr>
        <w:t>[Filed ARC 8810C</w:t>
      </w:r>
      <w:r>
        <w:rPr>
          <w:rFonts w:ascii="Times New Roman" w:hAnsi="Times New Roman"/>
          <w:b w:val="false"/>
          <w:i w:val="false"/>
          <w:color w:val="000000"/>
          <w:sz w:val="21"/>
        </w:rPr>
        <w:t xml:space="preserve"> (Notice ARC 8289C, IAB 10/30/24)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282—Ch 11 delayed 45 days by the Administrative Rules Review Committee at its meeting held March 10, 2000; delay lifted by the Committee at its meeting held April 7, 2000, effective April 8, 2000.</w:t>
      </w:r>
    </w:p>
    <w:p>
      <w:pPr>
        <w:pBdr>
          <w:bottom w:space="2"/>
        </w:pBdr>
        <w:spacing w:before="0" w:after="0"/>
        <w:ind w:left="120"/>
        <w:jc w:val="both"/>
      </w:pPr>
      <w:r>
        <w:rPr>
          <w:rFonts w:ascii="Times New Roman" w:hAnsi="Times New Roman"/>
          <w:b w:val="false"/>
          <w:i w:val="false"/>
          <w:color w:val="000000"/>
          <w:sz w:val="22"/>
        </w:rPr>
        <w:t>Effective date of ARC 8406B delayed until the adjournment of the 2010 Session of the General Assembly by the Administrative Rules Review Committee at its meeting held January 5, 2010.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256.160.pdf" Type="http://schemas.openxmlformats.org/officeDocument/2006/relationships/hyperlink" Id="rId7"/>
    <Relationship TargetMode="External" Target="https://www.legis.iowa.gov/docs/ico/chapter/232.71D.pdf" Type="http://schemas.openxmlformats.org/officeDocument/2006/relationships/hyperlink" Id="rId8"/>
    <Relationship TargetMode="External" Target="https://www.legis.iowa.gov/docs/ico/chapter/256.160.pdf" Type="http://schemas.openxmlformats.org/officeDocument/2006/relationships/hyperlink" Id="rId9"/>
    <Relationship TargetMode="External" Target="https://www.legis.iowa.gov/docs/ico/chapter/279.43.pdf" Type="http://schemas.openxmlformats.org/officeDocument/2006/relationships/hyperlink" Id="rId10"/>
    <Relationship TargetMode="External" Target="https://www.legis.iowa.gov/docs/iac/rule/281.102.11.pdf" Type="http://schemas.openxmlformats.org/officeDocument/2006/relationships/hyperlink" Id="rId11"/>
    <Relationship TargetMode="External" Target="https://www.legis.iowa.gov/docs/iac/chapter/282.11.pdf" Type="http://schemas.openxmlformats.org/officeDocument/2006/relationships/hyperlink" Id="rId12"/>
    <Relationship TargetMode="External" Target="https://www.legis.iowa.gov/docs/iac/chapter/282.25.pdf" Type="http://schemas.openxmlformats.org/officeDocument/2006/relationships/hyperlink" Id="rId13"/>
    <Relationship TargetMode="External" Target="https://www.legis.iowa.gov/docs/iac/rule/282.25.3.pdf" Type="http://schemas.openxmlformats.org/officeDocument/2006/relationships/hyperlink" Id="rId14"/>
    <Relationship TargetMode="External" Target="https://www.legis.iowa.gov/docs/ico/chapter/256.146.pdf" Type="http://schemas.openxmlformats.org/officeDocument/2006/relationships/hyperlink" Id="rId15"/>
    <Relationship TargetMode="External" Target="https://www.legis.iowa.gov/docs/ico/chapter/256.146.pdf" Type="http://schemas.openxmlformats.org/officeDocument/2006/relationships/hyperlink" Id="rId16"/>
    <Relationship TargetMode="External" Target="https://www.legis.iowa.gov/docs/ico/chapter/260.160.pdf" Type="http://schemas.openxmlformats.org/officeDocument/2006/relationships/hyperlink" Id="rId17"/>
    <Relationship TargetMode="External" Target="https://www.legis.iowa.gov/docs/ico/chapter/279.73.pdf" Type="http://schemas.openxmlformats.org/officeDocument/2006/relationships/hyperlink" Id="rId18"/>
    <Relationship TargetMode="External" Target="https://www.legis.iowa.gov/docs/ico/chapter/256.146.pdf" Type="http://schemas.openxmlformats.org/officeDocument/2006/relationships/hyperlink" Id="rId19"/>
    <Relationship TargetMode="External" Target="https://www.legis.iowa.gov/docs/ico/chapter/256.160.pdf" Type="http://schemas.openxmlformats.org/officeDocument/2006/relationships/hyperlink" Id="rId20"/>
    <Relationship TargetMode="External" Target="https://www.legis.iowa.gov/docs/ico/chapter/279.73.pdf" Type="http://schemas.openxmlformats.org/officeDocument/2006/relationships/hyperlink" Id="rId21"/>
    <Relationship TargetMode="External" Target="https://www.legis.iowa.gov/docs/ico/chapter/256.158.pdf" Type="http://schemas.openxmlformats.org/officeDocument/2006/relationships/hyperlink" Id="rId22"/>
    <Relationship TargetMode="External" Target="https://www.legis.iowa.gov/docs/iac/rule/282.11.4.pdf" Type="http://schemas.openxmlformats.org/officeDocument/2006/relationships/hyperlink" Id="rId23"/>
    <Relationship TargetMode="External" Target="https://www.legis.iowa.gov/docs/iac/rule/282.11.7.pdf" Type="http://schemas.openxmlformats.org/officeDocument/2006/relationships/hyperlink" Id="rId24"/>
    <Relationship TargetMode="External" Target="https://www.legis.iowa.gov/docs/iac/rule/282.11.7.pdf" Type="http://schemas.openxmlformats.org/officeDocument/2006/relationships/hyperlink" Id="rId25"/>
    <Relationship TargetMode="External" Target="https://www.legis.iowa.gov/docs/iac/rule/282.11.21.pdf" Type="http://schemas.openxmlformats.org/officeDocument/2006/relationships/hyperlink" Id="rId26"/>
    <Relationship TargetMode="External" Target="https://www.legis.iowa.gov/docs/iac/rule/282.11.4.pdf" Type="http://schemas.openxmlformats.org/officeDocument/2006/relationships/hyperlink" Id="rId27"/>
    <Relationship TargetMode="External" Target="https://www.legis.iowa.gov/docs/ico/chapter/17A.11.pdf" Type="http://schemas.openxmlformats.org/officeDocument/2006/relationships/hyperlink" Id="rId28"/>
    <Relationship TargetMode="External" Target="https://www.legis.iowa.gov/docs/iac/rule/282.11.8.pdf" Type="http://schemas.openxmlformats.org/officeDocument/2006/relationships/hyperlink" Id="rId29"/>
    <Relationship TargetMode="External" Target="https://www.legis.iowa.gov/docs/iac/rule/282.11.8.pdf" Type="http://schemas.openxmlformats.org/officeDocument/2006/relationships/hyperlink" Id="rId30"/>
    <Relationship TargetMode="External" Target="https://www.legis.iowa.gov/docs/iac/rule/282.11.8.pdf" Type="http://schemas.openxmlformats.org/officeDocument/2006/relationships/hyperlink" Id="rId31"/>
    <Relationship TargetMode="External" Target="https://www.legis.iowa.gov/docs/ico/chapter/17A.17.pdf" Type="http://schemas.openxmlformats.org/officeDocument/2006/relationships/hyperlink" Id="rId32"/>
    <Relationship TargetMode="External" Target="https://www.legis.iowa.gov/docs/iac/rule/282.11.11.pdf" Type="http://schemas.openxmlformats.org/officeDocument/2006/relationships/hyperlink" Id="rId33"/>
    <Relationship TargetMode="External" Target="https://www.legis.iowa.gov/docs/iac/rule/282.11.24.pdf" Type="http://schemas.openxmlformats.org/officeDocument/2006/relationships/hyperlink" Id="rId34"/>
    <Relationship TargetMode="External" Target="https://www.legis.iowa.gov/docs/iac/rule/282.11.11.pdf" Type="http://schemas.openxmlformats.org/officeDocument/2006/relationships/hyperlink" Id="rId35"/>
    <Relationship TargetMode="External" Target="https://www.legis.iowa.gov/docs/ico/chapter/17A.17.pdf" Type="http://schemas.openxmlformats.org/officeDocument/2006/relationships/hyperlink" Id="rId36"/>
    <Relationship TargetMode="External" Target="https://www.legis.iowa.gov/docs/iac/rule/282.11.26.pdf" Type="http://schemas.openxmlformats.org/officeDocument/2006/relationships/hyperlink" Id="rId37"/>
    <Relationship TargetMode="External" Target="https://www.legis.iowa.gov/docs/iac/rule/282.11.30.pdf" Type="http://schemas.openxmlformats.org/officeDocument/2006/relationships/hyperlink" Id="rId38"/>
    <Relationship TargetMode="External" Target="https://www.legis.iowa.gov/docs/ico/chapter/17A.16.pdf" Type="http://schemas.openxmlformats.org/officeDocument/2006/relationships/hyperlink" Id="rId39"/>
    <Relationship TargetMode="External" Target="https://www.legis.iowa.gov/docs/iac/rule/282.11.5.pdf" Type="http://schemas.openxmlformats.org/officeDocument/2006/relationships/hyperlink" Id="rId40"/>
    <Relationship TargetMode="External" Target="https://www.legis.iowa.gov/docs/iac/rule/282.11.7.pdf" Type="http://schemas.openxmlformats.org/officeDocument/2006/relationships/hyperlink" Id="rId41"/>
    <Relationship TargetMode="External" Target="https://www.legis.iowa.gov/docs/iac/rule/282.11.22.pdf" Type="http://schemas.openxmlformats.org/officeDocument/2006/relationships/hyperlink" Id="rId42"/>
    <Relationship TargetMode="External" Target="https://www.legis.iowa.gov/docs/ico/chapter/17A.13.pdf" Type="http://schemas.openxmlformats.org/officeDocument/2006/relationships/hyperlink" Id="rId43"/>
    <Relationship TargetMode="External" Target="https://www.legis.iowa.gov/docs/iac/rule/282.11.18.pdf" Type="http://schemas.openxmlformats.org/officeDocument/2006/relationships/hyperlink" Id="rId44"/>
    <Relationship TargetMode="External" Target="https://www.legis.iowa.gov/docs/iac/rule/282.11.28.pdf" Type="http://schemas.openxmlformats.org/officeDocument/2006/relationships/hyperlink" Id="rId45"/>
    <Relationship TargetMode="External" Target="https://www.legis.iowa.gov/docs/iac/rule/282.11.26.pdf" Type="http://schemas.openxmlformats.org/officeDocument/2006/relationships/hyperlink" Id="rId46"/>
    <Relationship TargetMode="External" Target="https://www.legis.iowa.gov/docs/iac/rule/282.11.30.pdf" Type="http://schemas.openxmlformats.org/officeDocument/2006/relationships/hyperlink" Id="rId47"/>
    <Relationship TargetMode="External" Target="https://www.legis.iowa.gov/docs/iac/rule/282.11.11.pdf" Type="http://schemas.openxmlformats.org/officeDocument/2006/relationships/hyperlink" Id="rId48"/>
    <Relationship TargetMode="External" Target="https://www.legis.iowa.gov/docs/iac/rule/282.11.13.pdf" Type="http://schemas.openxmlformats.org/officeDocument/2006/relationships/hyperlink" Id="rId49"/>
    <Relationship TargetMode="External" Target="https://www.legis.iowa.gov/docs/iac/rule/282.11.24.pdf" Type="http://schemas.openxmlformats.org/officeDocument/2006/relationships/hyperlink" Id="rId50"/>
    <Relationship TargetMode="External" Target="https://www.legis.iowa.gov/docs/iac/rule/282.11.19.pdf" Type="http://schemas.openxmlformats.org/officeDocument/2006/relationships/hyperlink" Id="rId51"/>
    <Relationship TargetMode="External" Target="https://www.legis.iowa.gov/docs/ico/chapter/17A.13.pdf" Type="http://schemas.openxmlformats.org/officeDocument/2006/relationships/hyperlink" Id="rId52"/>
    <Relationship TargetMode="External" Target="https://www.legis.iowa.gov/docs/iac/rule/282.11.28.pdf" Type="http://schemas.openxmlformats.org/officeDocument/2006/relationships/hyperlink" Id="rId53"/>
    <Relationship TargetMode="External" Target="https://www.legis.iowa.gov/docs/iac/rule/282.11.28.pdf" Type="http://schemas.openxmlformats.org/officeDocument/2006/relationships/hyperlink" Id="rId54"/>
    <Relationship TargetMode="External" Target="https://www.legis.iowa.gov/docs/ico/chapter/17A.19.pdf" Type="http://schemas.openxmlformats.org/officeDocument/2006/relationships/hyperlink" Id="rId55"/>
    <Relationship TargetMode="External" Target="https://www.legis.iowa.gov/docs/ico/chapter/17A.18.pdf" Type="http://schemas.openxmlformats.org/officeDocument/2006/relationships/hyperlink" Id="rId56"/>
    <Relationship TargetMode="External" Target="https://www.legis.iowa.gov/docs/ico/chapter/256.146.pdf" Type="http://schemas.openxmlformats.org/officeDocument/2006/relationships/hyperlink" Id="rId57"/>
    <Relationship TargetMode="External" Target="https://www.legis.iowa.gov/docs/ico/chapter/256.151.pdf" Type="http://schemas.openxmlformats.org/officeDocument/2006/relationships/hyperlink" Id="rId58"/>
    <Relationship TargetMode="External" Target="https://www.legis.iowa.gov/docs/ico/chapter/256.146.pdf" Type="http://schemas.openxmlformats.org/officeDocument/2006/relationships/hyperlink" Id="rId59"/>
    <Relationship TargetMode="External" Target="https://www.legis.iowa.gov/docs/ico/chapter/256.146.pdf" Type="http://schemas.openxmlformats.org/officeDocument/2006/relationships/hyperlink" Id="rId60"/>
    <Relationship TargetMode="External" Target="https://www.legis.iowa.gov/docs/ico/chapter/261H.2.pdf" Type="http://schemas.openxmlformats.org/officeDocument/2006/relationships/hyperlink" Id="rId61"/>
    <Relationship TargetMode="External" Target="https://www.legis.iowa.gov/docs/ico/chapter/279.73.pdf" Type="http://schemas.openxmlformats.org/officeDocument/2006/relationships/hyperlink" Id="rId62"/>
    <Relationship TargetMode="External" Target="https://www.legis.iowa.gov/docs/ico/chapter/256.146.pdf" Type="http://schemas.openxmlformats.org/officeDocument/2006/relationships/hyperlink" Id="rId63"/>
    <Relationship TargetMode="External" Target="https://www.legis.iowa.gov/docs/ico/chapter/256.146.pdf" Type="http://schemas.openxmlformats.org/officeDocument/2006/relationships/hyperlink" Id="rId64"/>
    <Relationship TargetMode="External" Target="https://www.legis.iowa.gov/docs/iac/rule/282.11.8.pdf" Type="http://schemas.openxmlformats.org/officeDocument/2006/relationships/hyperlink" Id="rId65"/>
    <Relationship TargetMode="External" Target="https://www.legis.iowa.gov/docs/iac/rule/282.11.28.pdf" Type="http://schemas.openxmlformats.org/officeDocument/2006/relationships/hyperlink" Id="rId66"/>
    <Relationship TargetMode="External" Target="https://www.legis.iowa.gov/docs/ico/chapter/17A.19.pdf" Type="http://schemas.openxmlformats.org/officeDocument/2006/relationships/hyperlink" Id="rId67"/>
    <Relationship TargetMode="External" Target="https://www.legis.iowa.gov/docs/iac/rule/282.11.35.pdf" Type="http://schemas.openxmlformats.org/officeDocument/2006/relationships/hyperlink" Id="rId68"/>
    <Relationship TargetMode="External" Target="https://www.legis.iowa.gov/docs/ico/chapter/17A.19.pdf" Type="http://schemas.openxmlformats.org/officeDocument/2006/relationships/hyperlink" Id="rId69"/>
    <Relationship TargetMode="External" Target="https://www.legis.iowa.gov/docs/ico/chapter/17A.18.pdf" Type="http://schemas.openxmlformats.org/officeDocument/2006/relationships/hyperlink" Id="rId70"/>
    <Relationship TargetMode="External" Target="https://www.legis.iowa.gov/docs/ico/chapter/17A.18.pdf" Type="http://schemas.openxmlformats.org/officeDocument/2006/relationships/hyperlink" Id="rId71"/>
    <Relationship TargetMode="External" Target="https://www.legis.iowa.gov/docs/ico/chapter/256.146.pdf" Type="http://schemas.openxmlformats.org/officeDocument/2006/relationships/hyperlink" Id="rId72"/>
    <Relationship TargetMode="External" Target="https://www.legis.iowa.gov/docs/ico/chapter/256.160.pdf" Type="http://schemas.openxmlformats.org/officeDocument/2006/relationships/hyperlink" Id="rId73"/>
    <Relationship TargetMode="External" Target="https://www.legis.iowa.gov/docs/ico/chapter/279.73.pdf" Type="http://schemas.openxmlformats.org/officeDocument/2006/relationships/hyperlink" Id="rId74"/>
    <Relationship TargetMode="External" Target="https://www.legis.iowa.gov/docs/ico/chapter/17A.pdf" Type="http://schemas.openxmlformats.org/officeDocument/2006/relationships/hyperlink" Id="rId75"/>
    <Relationship TargetMode="External" Target="https://www.legis.iowa.gov/docs/ico/chapter/256.pdf" Type="http://schemas.openxmlformats.org/officeDocument/2006/relationships/hyperlink" Id="rId7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