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CIVIL PENALTIES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21—95.1</w:t>
      </w:r>
      <w:r>
        <w:rPr>
          <w:rFonts w:ascii="Times New Roman" w:hAnsi="Times New Roman"/>
          <w:b/>
          <w:i w:val="false"/>
          <w:color w:val="000000"/>
          <w:sz w:val="22"/>
        </w:rPr>
        <w:t xml:space="preserve">(203,203C)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 </w:t>
      </w:r>
      <w:r>
        <w:rPr>
          <w:rFonts w:ascii="Times New Roman" w:hAnsi="Times New Roman"/>
          <w:b w:val="false"/>
          <w:i w:val="false"/>
          <w:color w:val="000000"/>
          <w:sz w:val="22"/>
        </w:rPr>
        <w:t xml:space="preserve">means an evidentiary hearing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grain warehouse bureau of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 xml:space="preserve">means an agreement between a licensee and the department which provides for sanctions for a violation of Iowa Code chapter </w:t>
      </w:r>
      <w:hyperlink r:id="rId6">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the rules promulgated thereunder, but does not include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grain dealer or warehouse operator licensed under Iowa Code chapter </w:t>
      </w:r>
      <w:hyperlink r:id="rId8">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“Panel” </w:t>
      </w:r>
      <w:r>
        <w:rPr>
          <w:rFonts w:ascii="Times New Roman" w:hAnsi="Times New Roman"/>
          <w:b w:val="false"/>
          <w:i w:val="false"/>
          <w:color w:val="000000"/>
          <w:sz w:val="22"/>
        </w:rPr>
        <w:t>means the grain industry peer review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means the information provided by the department to the panel to assist in its review of cases involving proposed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means the period of time during which the licensee may seek review of a proposed civil penalty by the panel.</w:t>
      </w:r>
    </w:p>
    <w:p>
      <w:pPr>
        <w:spacing w:before="210" w:after="0"/>
        <w:ind w:left="120"/>
        <w:jc w:val="both"/>
      </w:pPr>
      <w:r>
        <w:rPr>
          <w:rFonts w:ascii="Times New Roman" w:hAnsi="Times New Roman"/>
          <w:b/>
          <w:i w:val="false"/>
          <w:color w:val="000000"/>
          <w:sz w:val="22"/>
        </w:rPr>
        <w:t>21—95.2</w:t>
      </w:r>
      <w:r>
        <w:rPr>
          <w:rFonts w:ascii="Times New Roman" w:hAnsi="Times New Roman"/>
          <w:b/>
          <w:i w:val="false"/>
          <w:color w:val="000000"/>
          <w:sz w:val="22"/>
        </w:rPr>
        <w:t xml:space="preserve">(203,203C) </w:t>
      </w:r>
      <w:r>
        <w:rPr>
          <w:rFonts w:ascii="Times New Roman" w:hAnsi="Times New Roman"/>
          <w:b/>
          <w:i w:val="false"/>
          <w:color w:val="000000"/>
          <w:sz w:val="22"/>
        </w:rPr>
        <w:t xml:space="preserve">Grain industry peer review panel. </w:t>
      </w:r>
      <w:r>
        <w:rPr>
          <w:rFonts w:ascii="Times New Roman" w:hAnsi="Times New Roman"/>
          <w:b w:val="false"/>
          <w:i w:val="false"/>
          <w:color w:val="000000"/>
          <w:sz w:val="22"/>
        </w:rPr>
        <w:t xml:space="preserve">The panel shall review cases of licensees subject to civil penalties for violations of Iowa Code chapter </w:t>
      </w:r>
      <w:hyperlink r:id="rId10">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the rules promulgated thereunder. The decision to assess a civil penalty shall be made exclusively by the department. The panel’s review shall be limited to the issues of whether a civil penalty should be assessed and the amount of the penalty. The panel will not determine whether a violation of law has occurred.</w:t>
      </w:r>
    </w:p>
    <w:p>
      <w:pPr>
        <w:spacing w:before="0" w:after="0"/>
        <w:ind w:left="120"/>
        <w:jc w:val="both"/>
      </w:pPr>
      <w:r>
        <w:rPr>
          <w:rFonts w:ascii="Times New Roman" w:hAnsi="Times New Roman"/>
          <w:b/>
          <w:i w:val="false"/>
          <w:color w:val="000000"/>
          <w:sz w:val="22"/>
        </w:rPr>
        <w:t>21—95.3</w:t>
      </w:r>
      <w:r>
        <w:rPr>
          <w:rFonts w:ascii="Times New Roman" w:hAnsi="Times New Roman"/>
          <w:b/>
          <w:i w:val="false"/>
          <w:color w:val="000000"/>
          <w:sz w:val="22"/>
        </w:rPr>
        <w:t xml:space="preserve">(203,203C) </w:t>
      </w:r>
      <w:r>
        <w:rPr>
          <w:rFonts w:ascii="Times New Roman" w:hAnsi="Times New Roman"/>
          <w:b/>
          <w:i w:val="false"/>
          <w:color w:val="000000"/>
          <w:sz w:val="22"/>
        </w:rPr>
        <w:t xml:space="preserve">Organization and location. </w:t>
      </w:r>
      <w:r>
        <w:rPr>
          <w:rFonts w:ascii="Times New Roman" w:hAnsi="Times New Roman"/>
          <w:b w:val="false"/>
          <w:i w:val="false"/>
          <w:color w:val="000000"/>
          <w:sz w:val="22"/>
        </w:rPr>
        <w:t>The panel is located within the Iowa Department of Agriculture and Land Stewardship, Henry A. Wallace Building, Des Moines, Iowa 50319. The department’s office hours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210" w:after="0"/>
        <w:ind w:left="120"/>
        <w:jc w:val="both"/>
      </w:pPr>
      <w:r>
        <w:rPr>
          <w:rFonts w:ascii="Times New Roman" w:hAnsi="Times New Roman"/>
          <w:b/>
          <w:i w:val="false"/>
          <w:color w:val="000000"/>
          <w:sz w:val="22"/>
        </w:rPr>
        <w:t>21—95.4</w:t>
      </w:r>
      <w:r>
        <w:rPr>
          <w:rFonts w:ascii="Times New Roman" w:hAnsi="Times New Roman"/>
          <w:b/>
          <w:i w:val="false"/>
          <w:color w:val="000000"/>
          <w:sz w:val="22"/>
        </w:rPr>
        <w:t xml:space="preserve">(203,203C)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panel shall consist of five members as set forth in Iowa Code Supplement section </w:t>
      </w:r>
      <w:hyperlink r:id="rId12">
        <w:r>
          <w:rPr>
            <w:rStyle w:val="Hyperlink"/>
            <w:rFonts w:ascii="Times New Roman" w:hAnsi="Times New Roman"/>
            <w:b w:val="false"/>
            <w:i w:val="false"/>
            <w:color w:val="000000"/>
            <w:sz w:val="22"/>
          </w:rPr>
          <w:t>203.11B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21—95.5</w:t>
      </w:r>
      <w:r>
        <w:rPr>
          <w:rFonts w:ascii="Times New Roman" w:hAnsi="Times New Roman"/>
          <w:b/>
          <w:i w:val="false"/>
          <w:color w:val="000000"/>
          <w:sz w:val="22"/>
        </w:rPr>
        <w:t xml:space="preserve">(203,203C) </w:t>
      </w:r>
      <w:r>
        <w:rPr>
          <w:rFonts w:ascii="Times New Roman" w:hAnsi="Times New Roman"/>
          <w:b/>
          <w:i w:val="false"/>
          <w:color w:val="000000"/>
          <w:sz w:val="22"/>
        </w:rPr>
        <w:t xml:space="preserve">Staff. </w:t>
      </w:r>
      <w:r>
        <w:rPr>
          <w:rFonts w:ascii="Times New Roman" w:hAnsi="Times New Roman"/>
          <w:b w:val="false"/>
          <w:i w:val="false"/>
          <w:color w:val="000000"/>
          <w:sz w:val="22"/>
        </w:rPr>
        <w:t>Staff assistance shall be provided through the department.</w:t>
      </w:r>
    </w:p>
    <w:p>
      <w:pPr>
        <w:spacing w:before="210" w:after="0"/>
        <w:ind w:left="120"/>
        <w:jc w:val="both"/>
      </w:pPr>
      <w:r>
        <w:rPr>
          <w:rFonts w:ascii="Times New Roman" w:hAnsi="Times New Roman"/>
          <w:b/>
          <w:i w:val="false"/>
          <w:color w:val="000000"/>
          <w:sz w:val="22"/>
        </w:rPr>
        <w:t>21—95.6</w:t>
      </w:r>
      <w:r>
        <w:rPr>
          <w:rFonts w:ascii="Times New Roman" w:hAnsi="Times New Roman"/>
          <w:b/>
          <w:i w:val="false"/>
          <w:color w:val="000000"/>
          <w:sz w:val="22"/>
        </w:rPr>
        <w:t xml:space="preserve">(203,203C)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panel shall meet annually to elect a chairperson but may meet at the call of the chairperson or upon written request to the chairperson of two or more members. All panel meetings shall comply with Iowa Code chapter </w:t>
      </w:r>
      <w:hyperlink r:id="rId1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 quorum of three-fifths of the panel shall be present to transact business. Action by the panel requires a vote of a majority of those on the panel. Meetings follow Robert’s Rules of Order. Minutes of each meeting shall be available from the department.</w:t>
      </w:r>
    </w:p>
    <w:p>
      <w:pPr>
        <w:spacing w:before="0" w:after="0"/>
        <w:ind w:left="120"/>
        <w:jc w:val="both"/>
      </w:pPr>
      <w:r>
        <w:rPr>
          <w:rFonts w:ascii="Times New Roman" w:hAnsi="Times New Roman"/>
          <w:b/>
          <w:i w:val="false"/>
          <w:color w:val="000000"/>
          <w:sz w:val="22"/>
        </w:rPr>
        <w:t>21—95.7</w:t>
      </w:r>
      <w:r>
        <w:rPr>
          <w:rFonts w:ascii="Times New Roman" w:hAnsi="Times New Roman"/>
          <w:b/>
          <w:i w:val="false"/>
          <w:color w:val="000000"/>
          <w:sz w:val="22"/>
        </w:rPr>
        <w:t xml:space="preserve">(203,203C) </w:t>
      </w:r>
      <w:r>
        <w:rPr>
          <w:rFonts w:ascii="Times New Roman" w:hAnsi="Times New Roman"/>
          <w:b/>
          <w:i w:val="false"/>
          <w:color w:val="000000"/>
          <w:sz w:val="22"/>
        </w:rPr>
        <w:t xml:space="preserve">Criteria for assessing civil penalties. </w:t>
      </w:r>
      <w:r>
        <w:rPr>
          <w:rFonts w:ascii="Times New Roman" w:hAnsi="Times New Roman"/>
          <w:b w:val="false"/>
          <w:i w:val="false"/>
          <w:color w:val="000000"/>
          <w:sz w:val="22"/>
        </w:rPr>
        <w:t xml:space="preserve">Licensees who violate Iowa Code chapter </w:t>
      </w:r>
      <w:hyperlink r:id="rId14">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the rules promulgated thereunder may be subject to civil penalties. In evaluating a violation to determine which cases may be appropriate for assessment of civil penalties, or for purposes of assessing civil penalties, the department shall consider, among other relevant factors,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Economic benefits realized by the violator through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Willfulness or recklessness of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or threatened damage to sellers or depositors.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Actual or potential costs incurred by the department in discovering and responding to the violation.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Remedial or corrective action taken by the licensee.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Previous history of noncompliance by the licensee.</w:t>
      </w:r>
    </w:p>
    <w:p>
      <w:pPr>
        <w:spacing w:before="0" w:after="0"/>
        <w:ind w:left="120"/>
        <w:jc w:val="both"/>
      </w:pPr>
      <w:r>
        <w:rPr>
          <w:rFonts w:ascii="Times New Roman" w:hAnsi="Times New Roman"/>
          <w:b w:val="false"/>
          <w:i w:val="false"/>
          <w:color w:val="000000"/>
          <w:sz w:val="22"/>
        </w:rPr>
        <w:t>The amount of civil penalty assessed shall not exceed $1500 per violation. Each day that a violation continues constitutes a separate violation.</w:t>
      </w:r>
    </w:p>
    <w:p>
      <w:pPr>
        <w:spacing w:before="0" w:after="0"/>
        <w:ind w:left="120"/>
        <w:jc w:val="both"/>
      </w:pPr>
      <w:r>
        <w:rPr>
          <w:rFonts w:ascii="Times New Roman" w:hAnsi="Times New Roman"/>
          <w:b/>
          <w:i w:val="false"/>
          <w:color w:val="000000"/>
          <w:sz w:val="22"/>
        </w:rPr>
        <w:t>21—95.8</w:t>
      </w:r>
      <w:r>
        <w:rPr>
          <w:rFonts w:ascii="Times New Roman" w:hAnsi="Times New Roman"/>
          <w:b/>
          <w:i w:val="false"/>
          <w:color w:val="000000"/>
          <w:sz w:val="22"/>
        </w:rPr>
        <w:t xml:space="preserve">(203,203C) </w:t>
      </w:r>
      <w:r>
        <w:rPr>
          <w:rFonts w:ascii="Times New Roman" w:hAnsi="Times New Roman"/>
          <w:b/>
          <w:i w:val="false"/>
          <w:color w:val="000000"/>
          <w:sz w:val="22"/>
        </w:rPr>
        <w:t xml:space="preserve">Notice of civil penalty assessment—informal settlement. </w:t>
      </w:r>
      <w:r>
        <w:rPr>
          <w:rFonts w:ascii="Times New Roman" w:hAnsi="Times New Roman"/>
          <w:b w:val="false"/>
          <w:i w:val="false"/>
          <w:color w:val="000000"/>
          <w:sz w:val="22"/>
        </w:rPr>
        <w:t>The department shall give written notice to the licensee that it intends to seek assessment of a civil penalty. The notice shall describe the violation involved and set forth the amount of civil penalty sought by the department. The licensee shall have 14 days following receipt of the notice to request review of the amount of the civil penalty by the panel.</w:t>
      </w:r>
    </w:p>
    <w:p>
      <w:pPr>
        <w:spacing w:before="0" w:after="0"/>
        <w:ind w:left="120"/>
        <w:jc w:val="both"/>
      </w:pPr>
      <w:r>
        <w:rPr>
          <w:rFonts w:ascii="Times New Roman" w:hAnsi="Times New Roman"/>
          <w:b w:val="false"/>
          <w:i w:val="false"/>
          <w:color w:val="000000"/>
          <w:sz w:val="22"/>
        </w:rPr>
        <w:t>The department and the licensee may meet to discuss the case and the possibility of an informal settlement. If the parties reach an informal settlement, they may enter a joint stipulation providing for payment of an agreed-upon civil penalty and other sanctions. The joint stipulation is not reviewable by the panel.</w:t>
      </w:r>
    </w:p>
    <w:p>
      <w:pPr>
        <w:spacing w:before="0" w:after="0"/>
        <w:ind w:left="120"/>
        <w:jc w:val="both"/>
      </w:pPr>
      <w:r>
        <w:rPr>
          <w:rFonts w:ascii="Times New Roman" w:hAnsi="Times New Roman"/>
          <w:b/>
          <w:i w:val="false"/>
          <w:color w:val="000000"/>
          <w:sz w:val="22"/>
        </w:rPr>
        <w:t>21—95.9</w:t>
      </w:r>
      <w:r>
        <w:rPr>
          <w:rFonts w:ascii="Times New Roman" w:hAnsi="Times New Roman"/>
          <w:b/>
          <w:i w:val="false"/>
          <w:color w:val="000000"/>
          <w:sz w:val="22"/>
        </w:rPr>
        <w:t xml:space="preserve">(203,203C) </w:t>
      </w:r>
      <w:r>
        <w:rPr>
          <w:rFonts w:ascii="Times New Roman" w:hAnsi="Times New Roman"/>
          <w:b/>
          <w:i w:val="false"/>
          <w:color w:val="000000"/>
          <w:sz w:val="22"/>
        </w:rPr>
        <w:t xml:space="preserve">Panel review. </w:t>
      </w:r>
      <w:r>
        <w:rPr>
          <w:rFonts w:ascii="Times New Roman" w:hAnsi="Times New Roman"/>
          <w:b w:val="false"/>
          <w:i w:val="false"/>
          <w:color w:val="000000"/>
          <w:sz w:val="22"/>
        </w:rPr>
        <w:t>The licensee may seek review of the proposed civil penalty by filing a request for review within 14 days of receipt of the notice of assessment. The request for review shall be served in writing by regular mail upon the chairperson of the panel and the department. The request for review shall contain a concise statement of the reasons why a civil penalty should not be assessed or why it should be assessed at a lesser amount than that proposed by the department. Within 7 days of receipt of the request for review, the department shall forward its report to the panel.</w:t>
      </w:r>
    </w:p>
    <w:p>
      <w:pPr>
        <w:spacing w:before="0" w:after="0"/>
        <w:ind w:left="120"/>
        <w:jc w:val="both"/>
      </w:pPr>
      <w:r>
        <w:rPr>
          <w:rFonts w:ascii="Times New Roman" w:hAnsi="Times New Roman"/>
          <w:b w:val="false"/>
          <w:i w:val="false"/>
          <w:color w:val="000000"/>
          <w:sz w:val="22"/>
        </w:rPr>
        <w:t>Within 14 days of receipt of the department’s report, the chairperson shall schedule a meeting of the panel in Des Moines at the Henry A. Wallace Building or telephonically, and copies of the request for review and the department’s report shall be provided to the panel.</w:t>
      </w:r>
    </w:p>
    <w:p>
      <w:pPr>
        <w:spacing w:before="0" w:after="0"/>
        <w:ind w:left="120"/>
        <w:jc w:val="both"/>
      </w:pPr>
      <w:r>
        <w:rPr>
          <w:rFonts w:ascii="Times New Roman" w:hAnsi="Times New Roman"/>
          <w:b/>
          <w:i w:val="false"/>
          <w:color w:val="000000"/>
          <w:sz w:val="22"/>
        </w:rPr>
        <w:t>21—95.10</w:t>
      </w:r>
      <w:r>
        <w:rPr>
          <w:rFonts w:ascii="Times New Roman" w:hAnsi="Times New Roman"/>
          <w:b/>
          <w:i w:val="false"/>
          <w:color w:val="000000"/>
          <w:sz w:val="22"/>
        </w:rPr>
        <w:t xml:space="preserve">(203,203C) </w:t>
      </w:r>
      <w:r>
        <w:rPr>
          <w:rFonts w:ascii="Times New Roman" w:hAnsi="Times New Roman"/>
          <w:b/>
          <w:i w:val="false"/>
          <w:color w:val="000000"/>
          <w:sz w:val="22"/>
        </w:rPr>
        <w:t xml:space="preserve">Scope of panel review. </w:t>
      </w:r>
      <w:r>
        <w:rPr>
          <w:rFonts w:ascii="Times New Roman" w:hAnsi="Times New Roman"/>
          <w:b w:val="false"/>
          <w:i w:val="false"/>
          <w:color w:val="000000"/>
          <w:sz w:val="22"/>
        </w:rPr>
        <w:t xml:space="preserve">The panel shall confine its review to the licensee’s request for review and the department’s report. The department’s investigative file or parts thereof may be made available upon request. The department shall also make available, upon request, records which are otherwise confidential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203.16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203C.24</w:t>
        </w:r>
      </w:hyperlink>
      <w:r>
        <w:rPr>
          <w:rFonts w:ascii="Times New Roman" w:hAnsi="Times New Roman"/>
          <w:b w:val="false"/>
          <w:i w:val="false"/>
          <w:color w:val="000000"/>
          <w:sz w:val="22"/>
        </w:rPr>
        <w:t xml:space="preserve">. The review may be in closed session pursuant to Iowa Code section </w:t>
      </w:r>
      <w:hyperlink r:id="rId1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department’s reports shall be considered confidential records. The panel members shall maintain the confidentiality of records made available to the panel.</w:t>
      </w:r>
    </w:p>
    <w:p>
      <w:pPr>
        <w:spacing w:before="0" w:after="0"/>
        <w:ind w:left="120"/>
        <w:jc w:val="both"/>
      </w:pPr>
      <w:r>
        <w:rPr>
          <w:rFonts w:ascii="Times New Roman" w:hAnsi="Times New Roman"/>
          <w:b w:val="false"/>
          <w:i w:val="false"/>
          <w:color w:val="000000"/>
          <w:sz w:val="22"/>
        </w:rPr>
        <w:t>The panel’s review shall not be a contested case hearing. The panel shall not have power to examine or cross-examine witnesses, nor shall it have power to subpoena witnesses or documents.</w:t>
      </w:r>
    </w:p>
    <w:p>
      <w:pPr>
        <w:spacing w:before="0" w:after="0"/>
        <w:ind w:left="120"/>
        <w:jc w:val="both"/>
      </w:pPr>
      <w:r>
        <w:rPr>
          <w:rFonts w:ascii="Times New Roman" w:hAnsi="Times New Roman"/>
          <w:b/>
          <w:i w:val="false"/>
          <w:color w:val="000000"/>
          <w:sz w:val="22"/>
        </w:rPr>
        <w:t>21—95.11</w:t>
      </w:r>
      <w:r>
        <w:rPr>
          <w:rFonts w:ascii="Times New Roman" w:hAnsi="Times New Roman"/>
          <w:b/>
          <w:i w:val="false"/>
          <w:color w:val="000000"/>
          <w:sz w:val="22"/>
        </w:rPr>
        <w:t xml:space="preserve">(203,203C) </w:t>
      </w:r>
      <w:r>
        <w:rPr>
          <w:rFonts w:ascii="Times New Roman" w:hAnsi="Times New Roman"/>
          <w:b/>
          <w:i w:val="false"/>
          <w:color w:val="000000"/>
          <w:sz w:val="22"/>
        </w:rPr>
        <w:t xml:space="preserve">Panel response. </w:t>
      </w:r>
      <w:r>
        <w:rPr>
          <w:rFonts w:ascii="Times New Roman" w:hAnsi="Times New Roman"/>
          <w:b w:val="false"/>
          <w:i w:val="false"/>
          <w:color w:val="000000"/>
          <w:sz w:val="22"/>
        </w:rPr>
        <w:t>The panel shall respond in writing to the licensee and the department within 30 days of meeting to review the proposed penalty. The panel’s response may include recommendations that the proposed civil penalty be increased, decreased, that no penalty be assessed, or that conditions be placed upon the license.</w:t>
      </w:r>
    </w:p>
    <w:p>
      <w:pPr>
        <w:spacing w:before="0" w:after="0"/>
        <w:ind w:left="120"/>
        <w:jc w:val="both"/>
      </w:pPr>
      <w:r>
        <w:rPr>
          <w:rFonts w:ascii="Times New Roman" w:hAnsi="Times New Roman"/>
          <w:b w:val="false"/>
          <w:i w:val="false"/>
          <w:color w:val="000000"/>
          <w:sz w:val="22"/>
        </w:rPr>
        <w:t xml:space="preserve">If the licensee does not respond to the department’s notice of proposed penalty, the department shall seek review of its proposed civil penalty by submitting its report to the panel. Upon receipt of the report, the chairperson shall schedule a meeting and the provisions of </w:t>
      </w:r>
      <w:hyperlink r:id="rId20">
        <w:r>
          <w:rPr>
            <w:rStyle w:val="Hyperlink"/>
            <w:rFonts w:ascii="Times New Roman" w:hAnsi="Times New Roman"/>
            <w:b w:val="false"/>
            <w:i w:val="false"/>
            <w:color w:val="000000"/>
            <w:sz w:val="22"/>
          </w:rPr>
          <w:t>21—95.9</w:t>
        </w:r>
      </w:hyperlink>
      <w:r>
        <w:rPr>
          <w:rFonts w:ascii="Times New Roman" w:hAnsi="Times New Roman"/>
          <w:b w:val="false"/>
          <w:i w:val="false"/>
          <w:color w:val="000000"/>
          <w:sz w:val="22"/>
        </w:rPr>
        <w:t>(203,203C) shall apply.</w:t>
      </w:r>
    </w:p>
    <w:p>
      <w:pPr>
        <w:spacing w:before="0" w:after="0"/>
        <w:ind w:left="120"/>
        <w:jc w:val="both"/>
      </w:pPr>
      <w:r>
        <w:rPr>
          <w:rFonts w:ascii="Times New Roman" w:hAnsi="Times New Roman"/>
          <w:b/>
          <w:i w:val="false"/>
          <w:color w:val="000000"/>
          <w:sz w:val="22"/>
        </w:rPr>
        <w:t>21—95.12</w:t>
      </w:r>
      <w:r>
        <w:rPr>
          <w:rFonts w:ascii="Times New Roman" w:hAnsi="Times New Roman"/>
          <w:b/>
          <w:i w:val="false"/>
          <w:color w:val="000000"/>
          <w:sz w:val="22"/>
        </w:rPr>
        <w:t xml:space="preserve">(203,203C) </w:t>
      </w:r>
      <w:r>
        <w:rPr>
          <w:rFonts w:ascii="Times New Roman" w:hAnsi="Times New Roman"/>
          <w:b/>
          <w:i w:val="false"/>
          <w:color w:val="000000"/>
          <w:sz w:val="22"/>
        </w:rPr>
        <w:t xml:space="preserve">Civil penalty assessment. </w:t>
      </w:r>
      <w:r>
        <w:rPr>
          <w:rFonts w:ascii="Times New Roman" w:hAnsi="Times New Roman"/>
          <w:b w:val="false"/>
          <w:i w:val="false"/>
          <w:color w:val="000000"/>
          <w:sz w:val="22"/>
        </w:rPr>
        <w:t xml:space="preserve">If the licensee fails to pay the recommended civil penalty within 30 days of receipt of the panel’s response, the department may seek either administrative or judicial assessment of the penalty. The amount of civil penalty sought shall not exceed that recommended by the panel. The panel’s response may be used as evidence in an administrative hearing or civil case except to the extent that the response contains information considered confidential pursuant to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203.16</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203C.24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Upon finding that the licensee has violated Iowa Code chapter </w:t>
      </w:r>
      <w:hyperlink r:id="rId24">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the rules promulgated thereunder, an order shall be issued assessing the civil penalty. The order shall recite the facts, the legal requirements violated, the rationale for assessment of the civil penalty and the date of issuance.</w:t>
      </w:r>
    </w:p>
    <w:p>
      <w:pPr>
        <w:spacing w:before="210" w:after="0"/>
        <w:ind w:left="120"/>
        <w:jc w:val="both"/>
      </w:pPr>
      <w:r>
        <w:rPr>
          <w:rFonts w:ascii="Times New Roman" w:hAnsi="Times New Roman"/>
          <w:b/>
          <w:i w:val="false"/>
          <w:color w:val="000000"/>
          <w:sz w:val="22"/>
        </w:rPr>
        <w:t>21—95.13</w:t>
      </w:r>
      <w:r>
        <w:rPr>
          <w:rFonts w:ascii="Times New Roman" w:hAnsi="Times New Roman"/>
          <w:b/>
          <w:i w:val="false"/>
          <w:color w:val="000000"/>
          <w:sz w:val="22"/>
        </w:rPr>
        <w:t xml:space="preserve">(203,203C) </w:t>
      </w:r>
      <w:r>
        <w:rPr>
          <w:rFonts w:ascii="Times New Roman" w:hAnsi="Times New Roman"/>
          <w:b/>
          <w:i w:val="false"/>
          <w:color w:val="000000"/>
          <w:sz w:val="22"/>
        </w:rPr>
        <w:t xml:space="preserve">Judicial assessment. </w:t>
      </w:r>
      <w:r>
        <w:rPr>
          <w:rFonts w:ascii="Times New Roman" w:hAnsi="Times New Roman"/>
          <w:b w:val="false"/>
          <w:i w:val="false"/>
          <w:color w:val="000000"/>
          <w:sz w:val="22"/>
        </w:rPr>
        <w:t>The department may seek judicial assessment of civil penalties by requesting that the attorney general file an action in Iowa district court to seek assessment of the penalty. In requesting that the attorney general file an action seeking civil penalties, the department may also request that the attorney general seek other relief, such as issuance of an injunction.</w:t>
      </w:r>
    </w:p>
    <w:p>
      <w:pPr>
        <w:spacing w:before="0" w:after="0"/>
        <w:ind w:left="120"/>
        <w:jc w:val="both"/>
      </w:pPr>
      <w:r>
        <w:rPr>
          <w:rFonts w:ascii="Times New Roman" w:hAnsi="Times New Roman"/>
          <w:b/>
          <w:i w:val="false"/>
          <w:color w:val="000000"/>
          <w:sz w:val="22"/>
        </w:rPr>
        <w:t>21—95.14</w:t>
      </w:r>
      <w:r>
        <w:rPr>
          <w:rFonts w:ascii="Times New Roman" w:hAnsi="Times New Roman"/>
          <w:b/>
          <w:i w:val="false"/>
          <w:color w:val="000000"/>
          <w:sz w:val="22"/>
        </w:rPr>
        <w:t xml:space="preserve">(203,203C) </w:t>
      </w:r>
      <w:r>
        <w:rPr>
          <w:rFonts w:ascii="Times New Roman" w:hAnsi="Times New Roman"/>
          <w:b/>
          <w:i w:val="false"/>
          <w:color w:val="000000"/>
          <w:sz w:val="22"/>
        </w:rPr>
        <w:t xml:space="preserve">Civil penalty payment. </w:t>
      </w:r>
      <w:r>
        <w:rPr>
          <w:rFonts w:ascii="Times New Roman" w:hAnsi="Times New Roman"/>
          <w:b w:val="false"/>
          <w:i w:val="false"/>
          <w:color w:val="000000"/>
          <w:sz w:val="22"/>
        </w:rPr>
        <w:t>A civil penalty shall be paid within 30 days from the date that an order or judgment for the penalty becomes final. In an administrative assessment, the order is not final until all judicial review processes are completed. In a judicial assessment, the judgment is not final until the right of appeal is exhausted.</w:t>
      </w:r>
    </w:p>
    <w:p>
      <w:pPr>
        <w:spacing w:before="0" w:after="0"/>
        <w:ind w:left="120"/>
        <w:jc w:val="both"/>
      </w:pPr>
      <w:r>
        <w:rPr>
          <w:rFonts w:ascii="Times New Roman" w:hAnsi="Times New Roman"/>
          <w:b w:val="false"/>
          <w:i w:val="false"/>
          <w:color w:val="000000"/>
          <w:sz w:val="22"/>
        </w:rPr>
        <w:t>A person who fails to timely pay a civil penalty shall pay, in addition to the penalty, interest at the rate of one and one-half percent on the unpaid balance of the assessed penalty for each month or part of a month that the penalty remains unpaid.</w:t>
      </w:r>
    </w:p>
    <w:p>
      <w:pPr>
        <w:spacing w:before="0" w:after="0"/>
        <w:ind w:left="120"/>
        <w:jc w:val="both"/>
      </w:pPr>
      <w:r>
        <w:rPr>
          <w:rFonts w:ascii="Times New Roman" w:hAnsi="Times New Roman"/>
          <w:b w:val="false"/>
          <w:i w:val="false"/>
          <w:color w:val="000000"/>
          <w:sz w:val="22"/>
        </w:rPr>
        <w:t>Moneys collected in civil penalties through settlement or administrative or judicial proceedings shall be deposited in the general fund of the state.</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sections </w:t>
      </w:r>
      <w:hyperlink r:id="rId26">
        <w:r>
          <w:rPr>
            <w:rStyle w:val="Hyperlink"/>
            <w:rFonts w:ascii="Times New Roman" w:hAnsi="Times New Roman"/>
            <w:b w:val="false"/>
            <w:i w:val="false"/>
            <w:color w:val="000000"/>
            <w:sz w:val="22"/>
          </w:rPr>
          <w:t>203.11A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203C.36A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1/5/01, Notice 9/20/00—published 1/24/01, effective 2/28/01]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03.pdf" Type="http://schemas.openxmlformats.org/officeDocument/2006/relationships/hyperlink" Id="rId6"/>
    <Relationship TargetMode="External" Target="https://www.legis.iowa.gov/docs/ico/chapter/203C.pdf" Type="http://schemas.openxmlformats.org/officeDocument/2006/relationships/hyperlink" Id="rId7"/>
    <Relationship TargetMode="External" Target="https://www.legis.iowa.gov/docs/ico/chapter/203.pdf" Type="http://schemas.openxmlformats.org/officeDocument/2006/relationships/hyperlink" Id="rId8"/>
    <Relationship TargetMode="External" Target="https://www.legis.iowa.gov/docs/ico/chapter/203C.pdf" Type="http://schemas.openxmlformats.org/officeDocument/2006/relationships/hyperlink" Id="rId9"/>
    <Relationship TargetMode="External" Target="https://www.legis.iowa.gov/docs/ico/chapter/203.pdf" Type="http://schemas.openxmlformats.org/officeDocument/2006/relationships/hyperlink" Id="rId10"/>
    <Relationship TargetMode="External" Target="https://www.legis.iowa.gov/docs/ico/chapter/203C.pdf" Type="http://schemas.openxmlformats.org/officeDocument/2006/relationships/hyperlink" Id="rId11"/>
    <Relationship TargetMode="External" Target="https://www.legis.iowa.gov/docs/ico/chapter/203.11B.pdf" Type="http://schemas.openxmlformats.org/officeDocument/2006/relationships/hyperlink" Id="rId12"/>
    <Relationship TargetMode="External" Target="https://www.legis.iowa.gov/docs/ico/chapter/21.pdf" Type="http://schemas.openxmlformats.org/officeDocument/2006/relationships/hyperlink" Id="rId13"/>
    <Relationship TargetMode="External" Target="https://www.legis.iowa.gov/docs/ico/chapter/203.pdf" Type="http://schemas.openxmlformats.org/officeDocument/2006/relationships/hyperlink" Id="rId14"/>
    <Relationship TargetMode="External" Target="https://www.legis.iowa.gov/docs/ico/chapter/203C.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03.16.pdf" Type="http://schemas.openxmlformats.org/officeDocument/2006/relationships/hyperlink" Id="rId17"/>
    <Relationship TargetMode="External" Target="https://www.legis.iowa.gov/docs/ico/chapter/203C.24.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ac/rule/21.95.9.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03.16.pdf" Type="http://schemas.openxmlformats.org/officeDocument/2006/relationships/hyperlink" Id="rId22"/>
    <Relationship TargetMode="External" Target="https://www.legis.iowa.gov/docs/ico/chapter/203C.24.pdf" Type="http://schemas.openxmlformats.org/officeDocument/2006/relationships/hyperlink" Id="rId23"/>
    <Relationship TargetMode="External" Target="https://www.legis.iowa.gov/docs/ico/chapter/203.pdf" Type="http://schemas.openxmlformats.org/officeDocument/2006/relationships/hyperlink" Id="rId24"/>
    <Relationship TargetMode="External" Target="https://www.legis.iowa.gov/docs/ico/chapter/203C.pdf" Type="http://schemas.openxmlformats.org/officeDocument/2006/relationships/hyperlink" Id="rId25"/>
    <Relationship TargetMode="External" Target="https://www.legis.iowa.gov/docs/ico/chapter/203.11A.pdf" Type="http://schemas.openxmlformats.org/officeDocument/2006/relationships/hyperlink" Id="rId26"/>
    <Relationship TargetMode="External" Target="https://www.legis.iowa.gov/docs/ico/chapter/203C.36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