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GRAIN INDEMNITY FUND BOARD—ORGANIZATION AND OPERATIONS</w:t>
      </w:r>
    </w:p>
    <w:p>
      <w:pPr>
        <w:spacing w:before="0" w:after="0"/>
        <w:ind w:left="120"/>
        <w:jc w:val="center"/>
      </w:pPr>
      <w:r>
        <w:rPr>
          <w:rFonts w:ascii="Times New Roman" w:hAnsi="Times New Roman"/>
          <w:b w:val="false"/>
          <w:i w:val="false"/>
          <w:color w:val="000000"/>
          <w:sz w:val="14"/>
        </w:rPr>
        <w:t>[Prior to 7/27/88, 21—Ch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21—93.1</w:t>
      </w:r>
      <w:r>
        <w:rPr>
          <w:rFonts w:ascii="Times New Roman" w:hAnsi="Times New Roman"/>
          <w:b/>
          <w:i w:val="false"/>
          <w:color w:val="000000"/>
          <w:sz w:val="22"/>
        </w:rPr>
        <w:t xml:space="preserve">(203D) </w:t>
      </w:r>
      <w:r>
        <w:rPr>
          <w:rFonts w:ascii="Times New Roman" w:hAnsi="Times New Roman"/>
          <w:b/>
          <w:i w:val="false"/>
          <w:color w:val="000000"/>
          <w:sz w:val="22"/>
        </w:rPr>
        <w:t xml:space="preserve">Location. </w:t>
      </w:r>
      <w:r>
        <w:rPr>
          <w:rFonts w:ascii="Times New Roman" w:hAnsi="Times New Roman"/>
          <w:b w:val="false"/>
          <w:i w:val="false"/>
          <w:color w:val="000000"/>
          <w:sz w:val="22"/>
        </w:rPr>
        <w:t>The office of the grain indemnity fund board is located in the Wallace State Office Building, Des Moines, Iowa; telephone (515)281-5321; mailing address: Grain Indemnity Fund Board, c/o Grain Warehouse Bureau, Iowa Department of Agriculture and Land Stewardship, Henry A. Wallace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21—93.2</w:t>
      </w:r>
      <w:r>
        <w:rPr>
          <w:rFonts w:ascii="Times New Roman" w:hAnsi="Times New Roman"/>
          <w:b/>
          <w:i w:val="false"/>
          <w:color w:val="000000"/>
          <w:sz w:val="22"/>
        </w:rPr>
        <w:t xml:space="preserve">(203D) </w:t>
      </w:r>
      <w:r>
        <w:rPr>
          <w:rFonts w:ascii="Times New Roman" w:hAnsi="Times New Roman"/>
          <w:b/>
          <w:i w:val="false"/>
          <w:color w:val="000000"/>
          <w:sz w:val="22"/>
        </w:rPr>
        <w:t xml:space="preserve">The board. </w:t>
      </w:r>
      <w:r>
        <w:rPr>
          <w:rFonts w:ascii="Times New Roman" w:hAnsi="Times New Roman"/>
          <w:b w:val="false"/>
          <w:i w:val="false"/>
          <w:color w:val="000000"/>
          <w:sz w:val="22"/>
        </w:rPr>
        <w:t xml:space="preserve">The grain indemnity fund board consists of seven members: the secretary of agriculture or the secretary’s designee who shall serve as chairperson, the state treasurer or the state treasurer’s designee who shall serve as treasurer, a representative of the banking industry and four representatives of the grain industry. Grain industry representatives shall consist of two grain producers, one representative of warehouse operators licensed in accordance with Iowa Code section </w:t>
      </w:r>
      <w:hyperlink r:id="rId6">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and one representative of grain dealers licensed in accordance with Iowa Code section </w:t>
      </w:r>
      <w:hyperlink r:id="rId7">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Each industry representative shall be appointed by the governor from a list of three nominees made by the secretary of agriculture.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21—93.3</w:t>
      </w:r>
      <w:r>
        <w:rPr>
          <w:rFonts w:ascii="Times New Roman" w:hAnsi="Times New Roman"/>
          <w:b/>
          <w:i w:val="false"/>
          <w:color w:val="000000"/>
          <w:sz w:val="22"/>
        </w:rPr>
        <w:t xml:space="preserve">(203D)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 xml:space="preserve">The board has authority to determine the amount and validity of claims made against the fund, to review and adjust the per-bushel fee and the grain dealer and warehouse operator participation fee, and to approve costs of administering the fund. In addition, the board has the authority to act as an advisor to the secretary of agriculture on administrative matters affecting the fund, and as a result the board will make only policy recommendations in regard to the areas of administration delegated to the department in Iowa Code chapter </w:t>
      </w:r>
      <w:hyperlink r:id="rId9">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21—93.4</w:t>
      </w:r>
      <w:r>
        <w:rPr>
          <w:rFonts w:ascii="Times New Roman" w:hAnsi="Times New Roman"/>
          <w:b/>
          <w:i w:val="false"/>
          <w:color w:val="000000"/>
          <w:sz w:val="22"/>
        </w:rPr>
        <w:t xml:space="preserve">(203D) </w:t>
      </w:r>
      <w:r>
        <w:rPr>
          <w:rFonts w:ascii="Times New Roman" w:hAnsi="Times New Roman"/>
          <w:b/>
          <w:i w:val="false"/>
          <w:color w:val="000000"/>
          <w:sz w:val="22"/>
        </w:rPr>
        <w:t xml:space="preserve">Meetings. </w:t>
      </w:r>
      <w:r>
        <w:rPr>
          <w:rFonts w:ascii="Times New Roman" w:hAnsi="Times New Roman"/>
          <w:b w:val="false"/>
          <w:i w:val="false"/>
          <w:color w:val="000000"/>
          <w:sz w:val="22"/>
        </w:rPr>
        <w:t>Unless otherwise determined by the chairperson, the board will meet at 2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third Thursday of each month. In-person board meetings will generally be held in a conference room in the Henry A. Wallace building. Telephone conference call meetings may be permitted and will generally be hosted from the offices of the grain warehouse bureau of the Iowa department of agriculture and land stewardship in the Henry A. Wallace building. The establishment and public notice of meeting dates and locations are the responsibility of the chairperson, unless the majority of the members of the board eligible to vote request a meeting. In addition, the board will schedule meetings when circumstances require the board to address claims made against the fund and, for these meetings, establishment and public notice of meeting dates and locations are the responsibility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 xml:space="preserve">The tentative agenda is prepared by the chairperson in advance of the board meeting and will be mailed to board members in advance of the meeting date. A copy of the agenda will be mailed to those members of the public who request it and will be prominently posted at the board’s office at least 24 hours before the meeting. Members of the public wishing to be scheduled on the board’s agenda should notify the chairperson ten days in advance of the meeting and provide written materials explaining their reasons for wishing to address the board. In the case of a board meeting held to deal with claims against the fund, the filing of a written appeal under rule </w:t>
      </w:r>
      <w:hyperlink r:id="rId11">
        <w:r>
          <w:rPr>
            <w:rStyle w:val="Hyperlink"/>
            <w:rFonts w:ascii="Times New Roman" w:hAnsi="Times New Roman"/>
            <w:b w:val="false"/>
            <w:i w:val="false"/>
            <w:color w:val="000000"/>
            <w:sz w:val="22"/>
          </w:rPr>
          <w:t>21—94.9(203D)</w:t>
        </w:r>
      </w:hyperlink>
      <w:r>
        <w:rPr>
          <w:rFonts w:ascii="Times New Roman" w:hAnsi="Times New Roman"/>
          <w:b w:val="false"/>
          <w:i w:val="false"/>
          <w:color w:val="000000"/>
          <w:sz w:val="22"/>
        </w:rPr>
        <w:t xml:space="preserve"> will satisfy the requirements of the preceding sentence. The chairperson shall have the authority to make all final decisions on the content and length of agenda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chairperson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presiding officer. Individual questioning of board members will not be allowed without the explicit consent of the presiding officer and the board members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seven members who are all eligible to vote on issues. A majority of board members shall constitute a quorum. The affirmative vote of four board members is necessary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 xml:space="preserve">All meetings are open to the public in accordance with the open meetings law,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except that portions of a meeting may be closed in accordance with the open meetings law. In the chairperson’s discretion, a 15-minute public forum may be scheduled on each agenda of regularly scheduled meetings to allow the public, if necessary,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203D.5A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203D.6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21—93.5</w:t>
      </w:r>
      <w:r>
        <w:rPr>
          <w:rFonts w:ascii="Times New Roman" w:hAnsi="Times New Roman"/>
          <w:b/>
          <w:i w:val="false"/>
          <w:color w:val="000000"/>
          <w:sz w:val="22"/>
        </w:rPr>
        <w:t xml:space="preserve">(203D) </w:t>
      </w:r>
      <w:r>
        <w:rPr>
          <w:rFonts w:ascii="Times New Roman" w:hAnsi="Times New Roman"/>
          <w:b/>
          <w:i w:val="false"/>
          <w:color w:val="000000"/>
          <w:sz w:val="22"/>
        </w:rPr>
        <w:t xml:space="preserve">Minutes. </w:t>
      </w:r>
      <w:r>
        <w:rPr>
          <w:rFonts w:ascii="Times New Roman" w:hAnsi="Times New Roman"/>
          <w:b w:val="false"/>
          <w:i w:val="false"/>
          <w:color w:val="000000"/>
          <w:sz w:val="22"/>
        </w:rPr>
        <w:t>The minutes of all board meetings are recorded and kept by the grain warehouse bureau in the board’s office.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21—93.6</w:t>
      </w:r>
      <w:r>
        <w:rPr>
          <w:rFonts w:ascii="Times New Roman" w:hAnsi="Times New Roman"/>
          <w:b/>
          <w:i w:val="false"/>
          <w:color w:val="000000"/>
          <w:sz w:val="22"/>
        </w:rPr>
        <w:t xml:space="preserve">(203D) </w:t>
      </w:r>
      <w:r>
        <w:rPr>
          <w:rFonts w:ascii="Times New Roman" w:hAnsi="Times New Roman"/>
          <w:b/>
          <w:i w:val="false"/>
          <w:color w:val="000000"/>
          <w:sz w:val="22"/>
        </w:rPr>
        <w:t xml:space="preserve">Board decisions. </w:t>
      </w:r>
      <w:r>
        <w:rPr>
          <w:rFonts w:ascii="Times New Roman" w:hAnsi="Times New Roman"/>
          <w:b w:val="false"/>
          <w:i w:val="false"/>
          <w:color w:val="000000"/>
          <w:sz w:val="22"/>
        </w:rPr>
        <w:t xml:space="preserve">The actions of the board will be authoritatively recorded in the minutes of the board meeting at which the actions were taken. The board may adopt, amend, or repeal rules subject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govern the operations of the board, to adjust or waive the per-bushel fee and the annual dealer-warehouse fee, and to govern the process of making claims against the fund. These rules shall be published by the department in the Iowa Administrative Code. The board may also recommend the adoption of other rules by the department relating to the fund. The content of any rules will be authoritatively established when they are published by the department in the Iowa Administrative Code.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203D.5A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203D.6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21—93.7</w:t>
      </w:r>
      <w:r>
        <w:rPr>
          <w:rFonts w:ascii="Times New Roman" w:hAnsi="Times New Roman"/>
          <w:b/>
          <w:i w:val="false"/>
          <w:color w:val="000000"/>
          <w:sz w:val="22"/>
        </w:rPr>
        <w:t xml:space="preserve">(203D) </w:t>
      </w:r>
      <w:r>
        <w:rPr>
          <w:rFonts w:ascii="Times New Roman" w:hAnsi="Times New Roman"/>
          <w:b/>
          <w:i w:val="false"/>
          <w:color w:val="000000"/>
          <w:sz w:val="22"/>
        </w:rPr>
        <w:t xml:space="preserve">Records. </w:t>
      </w:r>
      <w:r>
        <w:rPr>
          <w:rFonts w:ascii="Times New Roman" w:hAnsi="Times New Roman"/>
          <w:b w:val="false"/>
          <w:i w:val="false"/>
          <w:color w:val="000000"/>
          <w:sz w:val="22"/>
        </w:rPr>
        <w:t>The records of all the business transacted and other information with respect to the activities of the board are public records and are on file in the board’s office. All records including board minutes are available for inspection during regular business hours. Copies may be obtained at a cost of 25 cents per page.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203D.4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21—93.8</w:t>
      </w:r>
      <w:r>
        <w:rPr>
          <w:rFonts w:ascii="Times New Roman" w:hAnsi="Times New Roman"/>
          <w:b/>
          <w:i w:val="false"/>
          <w:color w:val="000000"/>
          <w:sz w:val="22"/>
        </w:rPr>
        <w:t xml:space="preserve">(203D) </w:t>
      </w:r>
      <w:r>
        <w:rPr>
          <w:rFonts w:ascii="Times New Roman" w:hAnsi="Times New Roman"/>
          <w:b/>
          <w:i w:val="false"/>
          <w:color w:val="000000"/>
          <w:sz w:val="22"/>
        </w:rPr>
        <w:t xml:space="preserve">Waiver of per-bushel and participation fees.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6954C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3/22/23</w:t>
      </w:r>
      <w:r>
        <w:rPr>
          <w:rFonts w:ascii="Times New Roman" w:hAnsi="Times New Roman"/>
          <w:b w:val="false"/>
          <w:i w:val="false"/>
          <w:color w:val="000000"/>
          <w:sz w:val="22"/>
        </w:rPr>
        <w:t xml:space="preserve">, effective 4/26/23. </w:t>
      </w:r>
    </w:p>
    <w:p>
      <w:pPr>
        <w:spacing w:before="0" w:after="0"/>
        <w:ind w:left="120"/>
        <w:jc w:val="center"/>
      </w:pPr>
      <w:r>
        <w:rPr>
          <w:rFonts w:ascii="Times New Roman" w:hAnsi="Times New Roman"/>
          <w:b w:val="false"/>
          <w:i w:val="false"/>
          <w:color w:val="000000"/>
          <w:sz w:val="21"/>
        </w:rPr>
        <w:t>[Filed 2/20/87, Notice 12/17/86—published 3/11/87, effective 4/15/87]</w:t>
      </w:r>
    </w:p>
    <w:p>
      <w:pPr>
        <w:spacing w:before="0" w:after="0"/>
        <w:ind w:left="120"/>
        <w:jc w:val="center"/>
      </w:pPr>
      <w:r>
        <w:rPr>
          <w:rFonts w:ascii="Times New Roman" w:hAnsi="Times New Roman"/>
          <w:b w:val="false"/>
          <w:i w:val="false"/>
          <w:color w:val="000000"/>
          <w:sz w:val="21"/>
        </w:rPr>
        <w:t>[Filed 11/24/87, Notice 7/1/87—published 12/16/87, effective 3/16/88]</w:t>
      </w:r>
    </w:p>
    <w:p>
      <w:pPr>
        <w:spacing w:before="0" w:after="0"/>
        <w:ind w:left="120"/>
        <w:jc w:val="center"/>
      </w:pPr>
      <w:r>
        <w:rPr>
          <w:rFonts w:ascii="Times New Roman" w:hAnsi="Times New Roman"/>
          <w:b w:val="false"/>
          <w:i w:val="false"/>
          <w:color w:val="000000"/>
          <w:sz w:val="21"/>
        </w:rPr>
        <w:t>[Filed without Notice 4/29/88—published 5/18/88, effective 7/1/88]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6954C</w:t>
      </w:r>
      <w:r>
        <w:rPr>
          <w:rFonts w:ascii="Times New Roman" w:hAnsi="Times New Roman"/>
          <w:b w:val="false"/>
          <w:i w:val="false"/>
          <w:color w:val="000000"/>
          <w:sz w:val="21"/>
        </w:rPr>
        <w:t xml:space="preserve"> (Notice ARC 6803C, IAB 1/11/23)</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3D.4.pdf" Type="http://schemas.openxmlformats.org/officeDocument/2006/relationships/hyperlink" Id="rId5"/>
    <Relationship TargetMode="External" Target="https://www.legis.iowa.gov/docs/ico/chapter/203C.6.pdf" Type="http://schemas.openxmlformats.org/officeDocument/2006/relationships/hyperlink" Id="rId6"/>
    <Relationship TargetMode="External" Target="https://www.legis.iowa.gov/docs/ico/chapter/203.3.pdf" Type="http://schemas.openxmlformats.org/officeDocument/2006/relationships/hyperlink" Id="rId7"/>
    <Relationship TargetMode="External" Target="https://www.legis.iowa.gov/docs/ico/chapter/203D.4.pdf" Type="http://schemas.openxmlformats.org/officeDocument/2006/relationships/hyperlink" Id="rId8"/>
    <Relationship TargetMode="External" Target="https://www.legis.iowa.gov/docs/ico/chapter/203D.pdf" Type="http://schemas.openxmlformats.org/officeDocument/2006/relationships/hyperlink" Id="rId9"/>
    <Relationship TargetMode="External" Target="https://www.legis.iowa.gov/docs/ico/chapter/203D.4.pdf" Type="http://schemas.openxmlformats.org/officeDocument/2006/relationships/hyperlink" Id="rId10"/>
    <Relationship TargetMode="External" Target="https://www.legis.iowa.gov/docs/iac/rule/21.94.9.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203D.4.pdf" Type="http://schemas.openxmlformats.org/officeDocument/2006/relationships/hyperlink" Id="rId13"/>
    <Relationship TargetMode="External" Target="https://www.legis.iowa.gov/docs/ico/chapter/203D.5.pdf" Type="http://schemas.openxmlformats.org/officeDocument/2006/relationships/hyperlink" Id="rId14"/>
    <Relationship TargetMode="External" Target="https://www.legis.iowa.gov/docs/ico/chapter/203D.5A.pdf" Type="http://schemas.openxmlformats.org/officeDocument/2006/relationships/hyperlink" Id="rId15"/>
    <Relationship TargetMode="External" Target="https://www.legis.iowa.gov/docs/ico/chapter/203D.6.pdf" Type="http://schemas.openxmlformats.org/officeDocument/2006/relationships/hyperlink" Id="rId16"/>
    <Relationship TargetMode="External" Target="https://www.legis.iowa.gov/docs/ico/chapter/203D.4.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03D.4.pdf" Type="http://schemas.openxmlformats.org/officeDocument/2006/relationships/hyperlink" Id="rId19"/>
    <Relationship TargetMode="External" Target="https://www.legis.iowa.gov/docs/ico/chapter/203D.5.pdf" Type="http://schemas.openxmlformats.org/officeDocument/2006/relationships/hyperlink" Id="rId20"/>
    <Relationship TargetMode="External" Target="https://www.legis.iowa.gov/docs/ico/chapter/203D.5A.pdf" Type="http://schemas.openxmlformats.org/officeDocument/2006/relationships/hyperlink" Id="rId21"/>
    <Relationship TargetMode="External" Target="https://www.legis.iowa.gov/docs/ico/chapter/203D.6.pdf" Type="http://schemas.openxmlformats.org/officeDocument/2006/relationships/hyperlink" Id="rId22"/>
    <Relationship TargetMode="External" Target="https://www.legis.iowa.gov/docs/ico/chapter/203D.4.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