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w:t>
      </w:r>
    </w:p>
    <w:p>
      <w:pPr>
        <w:spacing w:before="0" w:after="0"/>
        <w:ind w:left="120"/>
        <w:jc w:val="center"/>
      </w:pPr>
      <w:r>
        <w:rPr>
          <w:rFonts w:ascii="Times New Roman" w:hAnsi="Times New Roman"/>
          <w:b w:val="false"/>
          <w:i w:val="false"/>
          <w:color w:val="000000"/>
          <w:sz w:val="21"/>
        </w:rPr>
        <w:t>PARTICIPATION IN GRAIN INDEMNITY FUND</w:t>
      </w:r>
    </w:p>
    <w:p>
      <w:pPr>
        <w:spacing w:before="0" w:after="0"/>
        <w:ind w:left="120"/>
        <w:jc w:val="center"/>
      </w:pPr>
      <w:r>
        <w:rPr>
          <w:rFonts w:ascii="Times New Roman" w:hAnsi="Times New Roman"/>
          <w:b w:val="false"/>
          <w:i w:val="false"/>
          <w:color w:val="000000"/>
          <w:sz w:val="14"/>
        </w:rPr>
        <w:t>[Prior to 7/30/86, Commerce Commission (250), Ch l4]</w:t>
      </w:r>
    </w:p>
    <w:p>
      <w:pPr>
        <w:spacing w:before="0" w:after="0"/>
        <w:ind w:left="120"/>
        <w:jc w:val="center"/>
      </w:pPr>
      <w:r>
        <w:rPr>
          <w:rFonts w:ascii="Times New Roman" w:hAnsi="Times New Roman"/>
          <w:b w:val="false"/>
          <w:i w:val="false"/>
          <w:color w:val="000000"/>
          <w:sz w:val="14"/>
        </w:rPr>
        <w:t>[Prior to 7/27/88, 21—Ch 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21—92.1</w:t>
      </w:r>
      <w:r>
        <w:rPr>
          <w:rFonts w:ascii="Times New Roman" w:hAnsi="Times New Roman"/>
          <w:b/>
          <w:i w:val="false"/>
          <w:color w:val="000000"/>
          <w:sz w:val="22"/>
        </w:rPr>
        <w:t xml:space="preserve">(203D) </w:t>
      </w:r>
      <w:r>
        <w:rPr>
          <w:rFonts w:ascii="Times New Roman" w:hAnsi="Times New Roman"/>
          <w:b/>
          <w:i w:val="false"/>
          <w:color w:val="000000"/>
          <w:sz w:val="22"/>
        </w:rPr>
        <w:t xml:space="preserve">Mandatory participation in fund. </w:t>
      </w:r>
      <w:r>
        <w:rPr>
          <w:rFonts w:ascii="Times New Roman" w:hAnsi="Times New Roman"/>
          <w:b w:val="false"/>
          <w:i w:val="false"/>
          <w:color w:val="000000"/>
          <w:sz w:val="22"/>
        </w:rPr>
        <w:t xml:space="preserve">All grain dealers and warehouse operators shall participate in the grain depositors and sellers indemnity fund (the fund) through the remission of the fees required in rule </w:t>
      </w:r>
      <w:hyperlink r:id="rId5">
        <w:r>
          <w:rPr>
            <w:rStyle w:val="Hyperlink"/>
            <w:rFonts w:ascii="Times New Roman" w:hAnsi="Times New Roman"/>
            <w:b w:val="false"/>
            <w:i w:val="false"/>
            <w:color w:val="000000"/>
            <w:sz w:val="22"/>
          </w:rPr>
          <w:t>21—92.2</w:t>
        </w:r>
      </w:hyperlink>
      <w:r>
        <w:rPr>
          <w:rFonts w:ascii="Times New Roman" w:hAnsi="Times New Roman"/>
          <w:b w:val="false"/>
          <w:i w:val="false"/>
          <w:color w:val="000000"/>
          <w:sz w:val="22"/>
        </w:rPr>
        <w:t xml:space="preserve">(203D). Failure to participate shall result in license suspension or revocation. As used in this chapter, “grain dealer” shall mean a licensed grain dealer pursuant to Iowa Code section </w:t>
      </w:r>
      <w:hyperlink r:id="rId6">
        <w:r>
          <w:rPr>
            <w:rStyle w:val="Hyperlink"/>
            <w:rFonts w:ascii="Times New Roman" w:hAnsi="Times New Roman"/>
            <w:b w:val="false"/>
            <w:i w:val="false"/>
            <w:color w:val="000000"/>
            <w:sz w:val="22"/>
          </w:rPr>
          <w:t>203.3</w:t>
        </w:r>
      </w:hyperlink>
      <w:r>
        <w:rPr>
          <w:rFonts w:ascii="Times New Roman" w:hAnsi="Times New Roman"/>
          <w:b w:val="false"/>
          <w:i w:val="false"/>
          <w:color w:val="000000"/>
          <w:sz w:val="22"/>
        </w:rPr>
        <w:t xml:space="preserve"> and “warehouse operator” shall mean a licensed warehouse operator pursuant to Iowa Code section </w:t>
      </w:r>
      <w:hyperlink r:id="rId7">
        <w:r>
          <w:rPr>
            <w:rStyle w:val="Hyperlink"/>
            <w:rFonts w:ascii="Times New Roman" w:hAnsi="Times New Roman"/>
            <w:b w:val="false"/>
            <w:i w:val="false"/>
            <w:color w:val="000000"/>
            <w:sz w:val="22"/>
          </w:rPr>
          <w:t>203C.6</w:t>
        </w:r>
      </w:hyperlink>
      <w:r>
        <w:rPr>
          <w:rFonts w:ascii="Times New Roman" w:hAnsi="Times New Roman"/>
          <w:b w:val="false"/>
          <w:i w:val="false"/>
          <w:color w:val="000000"/>
          <w:sz w:val="22"/>
        </w:rPr>
        <w:t>. “Licensee” shall mean either a licensed grain dealer or a licensed warehouse operator.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21—92.2</w:t>
      </w:r>
      <w:r>
        <w:rPr>
          <w:rFonts w:ascii="Times New Roman" w:hAnsi="Times New Roman"/>
          <w:b/>
          <w:i w:val="false"/>
          <w:color w:val="000000"/>
          <w:sz w:val="22"/>
        </w:rPr>
        <w:t xml:space="preserve">(203D) </w:t>
      </w:r>
      <w:r>
        <w:rPr>
          <w:rFonts w:ascii="Times New Roman" w:hAnsi="Times New Roman"/>
          <w:b/>
          <w:i w:val="false"/>
          <w:color w:val="000000"/>
          <w:sz w:val="22"/>
        </w:rPr>
        <w:t xml:space="preserve">Required fees. </w:t>
      </w:r>
      <w:r>
        <w:rPr>
          <w:rFonts w:ascii="Times New Roman" w:hAnsi="Times New Roman"/>
          <w:b w:val="false"/>
          <w:i w:val="false"/>
          <w:color w:val="000000"/>
          <w:sz w:val="22"/>
        </w:rPr>
        <w:t xml:space="preserve">Until the amounts are amended or waived by the grain indemnity fund board pursuant to Iowa Code section </w:t>
      </w:r>
      <w:hyperlink r:id="rId8">
        <w:r>
          <w:rPr>
            <w:rStyle w:val="Hyperlink"/>
            <w:rFonts w:ascii="Times New Roman" w:hAnsi="Times New Roman"/>
            <w:b w:val="false"/>
            <w:i w:val="false"/>
            <w:color w:val="000000"/>
            <w:sz w:val="22"/>
          </w:rPr>
          <w:t>203D.5</w:t>
        </w:r>
      </w:hyperlink>
      <w:r>
        <w:rPr>
          <w:rFonts w:ascii="Times New Roman" w:hAnsi="Times New Roman"/>
          <w:b w:val="false"/>
          <w:i w:val="false"/>
          <w:color w:val="000000"/>
          <w:sz w:val="22"/>
        </w:rPr>
        <w:t xml:space="preserve">, in accordance with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fees shall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92.2(1)</w:t>
      </w:r>
      <w:r>
        <w:rPr>
          <w:rFonts w:ascii="Times New Roman" w:hAnsi="Times New Roman"/>
          <w:b w:val="false"/>
          <w:i w:val="false"/>
          <w:color w:val="000000"/>
          <w:sz w:val="22"/>
        </w:rPr>
        <w:t> </w:t>
      </w:r>
      <w:r>
        <w:rPr>
          <w:rFonts w:ascii="Times New Roman" w:hAnsi="Times New Roman"/>
          <w:b w:val="false"/>
          <w:i w:val="false"/>
          <w:color w:val="000000"/>
          <w:sz w:val="22"/>
        </w:rPr>
        <w:t>A per-bushel fee on all purchased grain, in an amount of one-quarter cent per bushel, remitted by grain dealers. However, if the grain dealer provides documentation satisfactory to the department, the following transactions shall be excluded from the per-bushel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Grain purchased from the United States government or any of its subdivisions or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Grain purchased from a person licensed as a grain dealer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Grain purchased under a credit-sale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Grain entered in the company-owned paid position as a cancellation of a collateral warehouse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Grain entered in the company-owned paid position as an intracompany location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w:t>
      </w:r>
      <w:r>
        <w:rPr>
          <w:rFonts w:ascii="Times New Roman" w:hAnsi="Times New Roman"/>
          <w:b w:val="false"/>
          <w:i w:val="false"/>
          <w:color w:val="000000"/>
          <w:sz w:val="22"/>
        </w:rPr>
        <w:t> </w:t>
      </w:r>
      <w:r>
        <w:rPr>
          <w:rFonts w:ascii="Times New Roman" w:hAnsi="Times New Roman"/>
          <w:b w:val="false"/>
          <w:i w:val="false"/>
          <w:color w:val="000000"/>
          <w:sz w:val="22"/>
        </w:rPr>
        <w:t>An annual participation fee, remitted by licensees,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grain dealers, a participation fee of fourteen thousandths of a cent per bushel on all purchased grain entered into the company-owned paid position during the grain dealer’s last fiscal year. However, a grain dealer shall pay a minimum participation fee of $50. If the grain dealer provides documentation satisfactory to the department, the following transactions shall be excluded from the participation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Grain purchased from the United States government or any of its subdivisions or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Grain purchased from a person licensed as a grain dealer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Grain purchased under a credit-sale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Grain entered in the company-owned paid position as a cancellation of a collateral warehouse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Grain entered in the company-owned paid position as an intracompany location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warehouse operators, a participation fee of fourteen thousandths of a cent per bushel of bulk grain storage capacity, or $500, whichever is less. However, a warehouse operator shall pay a minimum participation fee of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92.2(3)</w:t>
      </w:r>
      <w:r>
        <w:rPr>
          <w:rFonts w:ascii="Times New Roman" w:hAnsi="Times New Roman"/>
          <w:b w:val="false"/>
          <w:i w:val="false"/>
          <w:color w:val="000000"/>
          <w:sz w:val="22"/>
        </w:rPr>
        <w:t> </w:t>
      </w:r>
      <w:r>
        <w:rPr>
          <w:rFonts w:ascii="Times New Roman" w:hAnsi="Times New Roman"/>
          <w:b w:val="false"/>
          <w:i w:val="false"/>
          <w:color w:val="000000"/>
          <w:sz w:val="22"/>
        </w:rPr>
        <w:t xml:space="preserve">A grain dealer may pass on the cost of a per-bushel fee paid in accordance with </w:t>
      </w:r>
      <w:hyperlink r:id="rId10">
        <w:r>
          <w:rPr>
            <w:rStyle w:val="Hyperlink"/>
            <w:rFonts w:ascii="Times New Roman" w:hAnsi="Times New Roman"/>
            <w:b w:val="false"/>
            <w:i w:val="false"/>
            <w:color w:val="000000"/>
            <w:sz w:val="22"/>
          </w:rPr>
          <w:t>92.2(1)</w:t>
        </w:r>
      </w:hyperlink>
      <w:r>
        <w:rPr>
          <w:rFonts w:ascii="Times New Roman" w:hAnsi="Times New Roman"/>
          <w:b w:val="false"/>
          <w:i w:val="false"/>
          <w:color w:val="000000"/>
          <w:sz w:val="22"/>
        </w:rPr>
        <w:t xml:space="preserve"> to the grain sellers by an itemized discount on the grain dealer’s settlement sheet.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203D.3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203D.5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2105C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21—92.3</w:t>
      </w:r>
      <w:r>
        <w:rPr>
          <w:rFonts w:ascii="Times New Roman" w:hAnsi="Times New Roman"/>
          <w:b/>
          <w:i w:val="false"/>
          <w:color w:val="000000"/>
          <w:sz w:val="22"/>
        </w:rPr>
        <w:t xml:space="preserve">(203D) </w:t>
      </w:r>
      <w:r>
        <w:rPr>
          <w:rFonts w:ascii="Times New Roman" w:hAnsi="Times New Roman"/>
          <w:b/>
          <w:i w:val="false"/>
          <w:color w:val="000000"/>
          <w:sz w:val="22"/>
        </w:rPr>
        <w:t xml:space="preserve">New license applicants. </w:t>
      </w:r>
      <w:r>
        <w:rPr>
          <w:rFonts w:ascii="Times New Roman" w:hAnsi="Times New Roman"/>
          <w:b w:val="false"/>
          <w:i w:val="false"/>
          <w:color w:val="000000"/>
          <w:sz w:val="22"/>
        </w:rPr>
        <w:t xml:space="preserve">Persons applying for a new grain dealer license or warehouse operator license shall pay a full annual participation fee in accordance with Iowa Code sections </w:t>
      </w:r>
      <w:hyperlink r:id="rId14">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203D.5</w:t>
        </w:r>
      </w:hyperlink>
      <w:r>
        <w:rPr>
          <w:rFonts w:ascii="Times New Roman" w:hAnsi="Times New Roman"/>
          <w:b w:val="false"/>
          <w:i w:val="false"/>
          <w:color w:val="000000"/>
          <w:sz w:val="22"/>
        </w:rPr>
        <w:t xml:space="preserve">. This payment shall be made without regard to whether or not the grain indemnity fund board has otherwise waived or adjusted the per-bushel or participation fees for licenses. Payment of the fees shall be made before a new license is issued. A participation fee paid by an applicant shall be refunded if the license is not issued by the department. A participation fee paid by a grain dealer applicant shall be recalculated by the end of the first state fiscal quarter after completion of the grain dealer’s first year of operation. The grain dealer participation fee shall be recalculated based upon all actual purchased grain entered into the company-owned paid position in the dealer’s first year of operation. However, redemptions of collateral warehouse receipts entered in the company-owned paid position shall not be considered as a purchase. Underpayments shall be paid by the licensee in accordance with rule </w:t>
      </w:r>
      <w:hyperlink r:id="rId16">
        <w:r>
          <w:rPr>
            <w:rStyle w:val="Hyperlink"/>
            <w:rFonts w:ascii="Times New Roman" w:hAnsi="Times New Roman"/>
            <w:b w:val="false"/>
            <w:i w:val="false"/>
            <w:color w:val="000000"/>
            <w:sz w:val="22"/>
          </w:rPr>
          <w:t>21—92.4</w:t>
        </w:r>
      </w:hyperlink>
      <w:r>
        <w:rPr>
          <w:rFonts w:ascii="Times New Roman" w:hAnsi="Times New Roman"/>
          <w:b w:val="false"/>
          <w:i w:val="false"/>
          <w:color w:val="000000"/>
          <w:sz w:val="22"/>
        </w:rPr>
        <w:t>(203D), and overpayments shall be refunded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203D.5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21—92.4</w:t>
      </w:r>
      <w:r>
        <w:rPr>
          <w:rFonts w:ascii="Times New Roman" w:hAnsi="Times New Roman"/>
          <w:b/>
          <w:i w:val="false"/>
          <w:color w:val="000000"/>
          <w:sz w:val="22"/>
        </w:rPr>
        <w:t xml:space="preserve">(203D) </w:t>
      </w:r>
      <w:r>
        <w:rPr>
          <w:rFonts w:ascii="Times New Roman" w:hAnsi="Times New Roman"/>
          <w:b/>
          <w:i w:val="false"/>
          <w:color w:val="000000"/>
          <w:sz w:val="22"/>
        </w:rPr>
        <w:t xml:space="preserve">Due date for payment of the per-bushel and participation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w:t>
      </w:r>
      <w:r>
        <w:rPr>
          <w:rFonts w:ascii="Times New Roman" w:hAnsi="Times New Roman"/>
          <w:b w:val="false"/>
          <w:i w:val="false"/>
          <w:color w:val="000000"/>
          <w:sz w:val="22"/>
        </w:rPr>
        <w:t> </w:t>
      </w:r>
      <w:r>
        <w:rPr>
          <w:rFonts w:ascii="Times New Roman" w:hAnsi="Times New Roman"/>
          <w:b w:val="false"/>
          <w:i/>
          <w:color w:val="000000"/>
          <w:sz w:val="22"/>
        </w:rPr>
        <w:t xml:space="preserve">Quarterly payments. </w:t>
      </w:r>
      <w:r>
        <w:rPr>
          <w:rFonts w:ascii="Times New Roman" w:hAnsi="Times New Roman"/>
          <w:b w:val="false"/>
          <w:i w:val="false"/>
          <w:color w:val="000000"/>
          <w:sz w:val="22"/>
        </w:rPr>
        <w:t xml:space="preserve">The per-bushel fee and the participation fee installment payment established in Iowa Code section </w:t>
      </w:r>
      <w:hyperlink r:id="rId19">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 xml:space="preserve">, as adjusted by rule </w:t>
      </w:r>
      <w:hyperlink r:id="rId20">
        <w:r>
          <w:rPr>
            <w:rStyle w:val="Hyperlink"/>
            <w:rFonts w:ascii="Times New Roman" w:hAnsi="Times New Roman"/>
            <w:b w:val="false"/>
            <w:i w:val="false"/>
            <w:color w:val="000000"/>
            <w:sz w:val="22"/>
          </w:rPr>
          <w:t>21—92.2</w:t>
        </w:r>
      </w:hyperlink>
      <w:r>
        <w:rPr>
          <w:rFonts w:ascii="Times New Roman" w:hAnsi="Times New Roman"/>
          <w:b w:val="false"/>
          <w:i w:val="false"/>
          <w:color w:val="000000"/>
          <w:sz w:val="22"/>
        </w:rPr>
        <w:t xml:space="preserve">(203D), and the quarterly report are due, except as provided in subrule </w:t>
      </w:r>
      <w:hyperlink r:id="rId21">
        <w:r>
          <w:rPr>
            <w:rStyle w:val="Hyperlink"/>
            <w:rFonts w:ascii="Times New Roman" w:hAnsi="Times New Roman"/>
            <w:b w:val="false"/>
            <w:i w:val="false"/>
            <w:color w:val="000000"/>
            <w:sz w:val="22"/>
          </w:rPr>
          <w:t>92.4(2)</w:t>
        </w:r>
      </w:hyperlink>
      <w:r>
        <w:rPr>
          <w:rFonts w:ascii="Times New Roman" w:hAnsi="Times New Roman"/>
          <w:b w:val="false"/>
          <w:i w:val="false"/>
          <w:color w:val="000000"/>
          <w:sz w:val="22"/>
        </w:rPr>
        <w:t>, on the fifteenth day of the fiscal month succeeding the fiscal quarter in which the fee accrued. The fiscal quarters are as follows: July 1 through September 30; October 1 through December 31; January 1 through March 31; and April 1 through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92.4(2)</w:t>
      </w:r>
      <w:r>
        <w:rPr>
          <w:rFonts w:ascii="Times New Roman" w:hAnsi="Times New Roman"/>
          <w:b w:val="false"/>
          <w:i w:val="false"/>
          <w:color w:val="000000"/>
          <w:sz w:val="22"/>
        </w:rPr>
        <w:t> </w:t>
      </w:r>
      <w:r>
        <w:rPr>
          <w:rFonts w:ascii="Times New Roman" w:hAnsi="Times New Roman"/>
          <w:b w:val="false"/>
          <w:i/>
          <w:color w:val="000000"/>
          <w:sz w:val="22"/>
        </w:rPr>
        <w:t xml:space="preserve">Payments for licensees out of business. </w:t>
      </w:r>
      <w:r>
        <w:rPr>
          <w:rFonts w:ascii="Times New Roman" w:hAnsi="Times New Roman"/>
          <w:b w:val="false"/>
          <w:i w:val="false"/>
          <w:color w:val="000000"/>
          <w:sz w:val="22"/>
        </w:rPr>
        <w:t>If a grain dealer or warehouse operator license has expired or is revoked or canceled during the term of a fiscal quarter, the quarterly report and per-bushel fee for that quarter are due 15 days after the date of license expiration, revocation, or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92.4(3)</w:t>
      </w:r>
      <w:r>
        <w:rPr>
          <w:rFonts w:ascii="Times New Roman" w:hAnsi="Times New Roman"/>
          <w:b w:val="false"/>
          <w:i w:val="false"/>
          <w:color w:val="000000"/>
          <w:sz w:val="22"/>
        </w:rPr>
        <w:t> </w:t>
      </w:r>
      <w:r>
        <w:rPr>
          <w:rFonts w:ascii="Times New Roman" w:hAnsi="Times New Roman"/>
          <w:b w:val="false"/>
          <w:i/>
          <w:color w:val="000000"/>
          <w:sz w:val="22"/>
        </w:rPr>
        <w:t xml:space="preserve">Holidays. </w:t>
      </w:r>
      <w:r>
        <w:rPr>
          <w:rFonts w:ascii="Times New Roman" w:hAnsi="Times New Roman"/>
          <w:b w:val="false"/>
          <w:i w:val="false"/>
          <w:color w:val="000000"/>
          <w:sz w:val="22"/>
        </w:rPr>
        <w:t xml:space="preserve">If the due date determined under subrules </w:t>
      </w:r>
      <w:hyperlink r:id="rId22">
        <w:r>
          <w:rPr>
            <w:rStyle w:val="Hyperlink"/>
            <w:rFonts w:ascii="Times New Roman" w:hAnsi="Times New Roman"/>
            <w:b w:val="false"/>
            <w:i w:val="false"/>
            <w:color w:val="000000"/>
            <w:sz w:val="22"/>
          </w:rPr>
          <w:t>92.4(1)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92.4(2)</w:t>
        </w:r>
      </w:hyperlink>
      <w:r>
        <w:rPr>
          <w:rFonts w:ascii="Times New Roman" w:hAnsi="Times New Roman"/>
          <w:b w:val="false"/>
          <w:i w:val="false"/>
          <w:color w:val="000000"/>
          <w:sz w:val="22"/>
        </w:rPr>
        <w:t xml:space="preserve"> falls on a Saturday, Sunday, a legal holiday as provided in Iowa Code section </w:t>
      </w:r>
      <w:hyperlink r:id="rId2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or a Monday following a Sunday which is a named legal holiday, the due date is the following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92.4(4)</w:t>
      </w:r>
      <w:r>
        <w:rPr>
          <w:rFonts w:ascii="Times New Roman" w:hAnsi="Times New Roman"/>
          <w:b w:val="false"/>
          <w:i w:val="false"/>
          <w:color w:val="000000"/>
          <w:sz w:val="22"/>
        </w:rPr>
        <w:t> </w:t>
      </w:r>
      <w:r>
        <w:rPr>
          <w:rFonts w:ascii="Times New Roman" w:hAnsi="Times New Roman"/>
          <w:b w:val="false"/>
          <w:i/>
          <w:color w:val="000000"/>
          <w:sz w:val="22"/>
        </w:rPr>
        <w:t xml:space="preserve">Forms and payment. </w:t>
      </w:r>
      <w:r>
        <w:rPr>
          <w:rFonts w:ascii="Times New Roman" w:hAnsi="Times New Roman"/>
          <w:b w:val="false"/>
          <w:i w:val="false"/>
          <w:color w:val="000000"/>
          <w:sz w:val="22"/>
        </w:rPr>
        <w:t>The quarterly report shall be submitted on forms or in a format prescribed by the bureau. Required forms shall be provided by the grain warehouse bureau. The amount of the per-bushel fee, as calculated in the quarterly report, shall accompany the report. Checks shall be made payable to the Iowa Department of Agriculture and Land Stewardship (abbreviated as IDALS).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92.4(5)</w:t>
      </w:r>
      <w:r>
        <w:rPr>
          <w:rFonts w:ascii="Times New Roman" w:hAnsi="Times New Roman"/>
          <w:b w:val="false"/>
          <w:i w:val="false"/>
          <w:color w:val="000000"/>
          <w:sz w:val="22"/>
        </w:rPr>
        <w:t> </w:t>
      </w:r>
      <w:r>
        <w:rPr>
          <w:rFonts w:ascii="Times New Roman" w:hAnsi="Times New Roman"/>
          <w:b w:val="false"/>
          <w:i/>
          <w:color w:val="000000"/>
          <w:sz w:val="22"/>
        </w:rPr>
        <w:t xml:space="preserve">“Receiving” defined. </w:t>
      </w:r>
      <w:r>
        <w:rPr>
          <w:rFonts w:ascii="Times New Roman" w:hAnsi="Times New Roman"/>
          <w:b w:val="false"/>
          <w:i w:val="false"/>
          <w:color w:val="000000"/>
          <w:sz w:val="22"/>
        </w:rPr>
        <w:t>The quarterly report and the per-bushel fee must be received on or by the due date to avoid penalty. For the purpose of this chapter, “received” means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 state warehouse examiner acknowledges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report is stamped “received” in the warehouse bureau;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report is postmarked, if the item is properly addressed to the Grain Warehouse Bureau, Iowa Department of Agriculture and Land Stewardship, Henry A. Wallace Building, Des Moines, Iowa 50319.</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203D.3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21—92.5</w:t>
      </w:r>
      <w:r>
        <w:rPr>
          <w:rFonts w:ascii="Times New Roman" w:hAnsi="Times New Roman"/>
          <w:b/>
          <w:i w:val="false"/>
          <w:color w:val="000000"/>
          <w:sz w:val="22"/>
        </w:rPr>
        <w:t xml:space="preserve">(203D) </w:t>
      </w:r>
      <w:r>
        <w:rPr>
          <w:rFonts w:ascii="Times New Roman" w:hAnsi="Times New Roman"/>
          <w:b/>
          <w:i w:val="false"/>
          <w:color w:val="000000"/>
          <w:sz w:val="22"/>
        </w:rPr>
        <w:t xml:space="preserve">Penalty for delinquent submission of per-bushel and participation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92.5(1)</w:t>
      </w:r>
      <w:r>
        <w:rPr>
          <w:rFonts w:ascii="Times New Roman" w:hAnsi="Times New Roman"/>
          <w:b w:val="false"/>
          <w:i w:val="false"/>
          <w:color w:val="000000"/>
          <w:sz w:val="22"/>
        </w:rPr>
        <w:t> </w:t>
      </w:r>
      <w:r>
        <w:rPr>
          <w:rFonts w:ascii="Times New Roman" w:hAnsi="Times New Roman"/>
          <w:b w:val="false"/>
          <w:i/>
          <w:color w:val="000000"/>
          <w:sz w:val="22"/>
        </w:rPr>
        <w:t xml:space="preserve">Delinquent payments defined. </w:t>
      </w:r>
      <w:r>
        <w:rPr>
          <w:rFonts w:ascii="Times New Roman" w:hAnsi="Times New Roman"/>
          <w:b w:val="false"/>
          <w:i w:val="false"/>
          <w:color w:val="000000"/>
          <w:sz w:val="22"/>
        </w:rPr>
        <w:t>In regard to the submission of the quarterly report, per-bushel fee and the participation fee installment payment, the licensee is deemed to be delinquent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quarterly report and payment of the per-bushel fee due are not received on or before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quarterly report and partial payment of the per-bushel fee due are received on or before the due date, but the underpayment exceeds the margin of error, which for this rule is the greater of $10 or 10 percent of the per-bushel fee due as determined by the warehouse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quarterly report and partial payment of the per-bushel fee due are received on or before the due date, and the underpayment is within the margin of error provided, but the amount of the underpayment has not been received on or before the tenth day after the licensee is notified of the underpayment.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participation fee installment payment is not received on or before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92.5(2)</w:t>
      </w:r>
      <w:r>
        <w:rPr>
          <w:rFonts w:ascii="Times New Roman" w:hAnsi="Times New Roman"/>
          <w:b w:val="false"/>
          <w:i w:val="false"/>
          <w:color w:val="000000"/>
          <w:sz w:val="22"/>
        </w:rPr>
        <w:t> </w:t>
      </w:r>
      <w:r>
        <w:rPr>
          <w:rFonts w:ascii="Times New Roman" w:hAnsi="Times New Roman"/>
          <w:b w:val="false"/>
          <w:i/>
          <w:color w:val="000000"/>
          <w:sz w:val="22"/>
        </w:rPr>
        <w:t xml:space="preserve">Penalty amount. </w:t>
      </w:r>
      <w:r>
        <w:rPr>
          <w:rFonts w:ascii="Times New Roman" w:hAnsi="Times New Roman"/>
          <w:b w:val="false"/>
          <w:i w:val="false"/>
          <w:color w:val="000000"/>
          <w:sz w:val="22"/>
        </w:rPr>
        <w:t>The amount of penalty for a delinquent submission is the lesser of the amount of the deficiency or $10 per day for each day after the due date for the quarter in question, through the earlier of the date the underpayment is received or the date the licensee’s license has expired or has been revoked or canceled. However, a delinquent payment is subject to a minimum penalty amount of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92.5(3)</w:t>
      </w:r>
      <w:r>
        <w:rPr>
          <w:rFonts w:ascii="Times New Roman" w:hAnsi="Times New Roman"/>
          <w:b w:val="false"/>
          <w:i w:val="false"/>
          <w:color w:val="000000"/>
          <w:sz w:val="22"/>
        </w:rPr>
        <w:t> </w:t>
      </w:r>
      <w:r>
        <w:rPr>
          <w:rFonts w:ascii="Times New Roman" w:hAnsi="Times New Roman"/>
          <w:b w:val="false"/>
          <w:i/>
          <w:color w:val="000000"/>
          <w:sz w:val="22"/>
        </w:rPr>
        <w:t xml:space="preserve">Penalty when no assessment is due. </w:t>
      </w:r>
      <w:r>
        <w:rPr>
          <w:rFonts w:ascii="Times New Roman" w:hAnsi="Times New Roman"/>
          <w:b w:val="false"/>
          <w:i w:val="false"/>
          <w:color w:val="000000"/>
          <w:sz w:val="22"/>
        </w:rPr>
        <w:t>If the licensee is delinquent because the quarterly report is not received until after the due date, but no per-bushel fee was due for that quarter, there is a one-day penalty of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92.5(4)</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 and revocation for failure to pay. </w:t>
      </w:r>
      <w:r>
        <w:rPr>
          <w:rFonts w:ascii="Times New Roman" w:hAnsi="Times New Roman"/>
          <w:b w:val="false"/>
          <w:i w:val="false"/>
          <w:color w:val="000000"/>
          <w:sz w:val="22"/>
        </w:rPr>
        <w:t>If the delinquency is not cured within 30 days after the due date, the grain dealer’s or warehouse operator’s license shall be suspended. If the delinquency is not cured within 30 days after suspension, the license shall be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92.5(5)</w:t>
      </w:r>
      <w:r>
        <w:rPr>
          <w:rFonts w:ascii="Times New Roman" w:hAnsi="Times New Roman"/>
          <w:b w:val="false"/>
          <w:i w:val="false"/>
          <w:color w:val="000000"/>
          <w:sz w:val="22"/>
        </w:rPr>
        <w:t> </w:t>
      </w:r>
      <w:r>
        <w:rPr>
          <w:rFonts w:ascii="Times New Roman" w:hAnsi="Times New Roman"/>
          <w:b w:val="false"/>
          <w:i/>
          <w:color w:val="000000"/>
          <w:sz w:val="22"/>
        </w:rPr>
        <w:t xml:space="preserve">Overpayments. </w:t>
      </w:r>
      <w:r>
        <w:rPr>
          <w:rFonts w:ascii="Times New Roman" w:hAnsi="Times New Roman"/>
          <w:b w:val="false"/>
          <w:i w:val="false"/>
          <w:color w:val="000000"/>
          <w:sz w:val="22"/>
        </w:rPr>
        <w:t>If, upon review of the quarterly report, the grain warehouse bureau determines that there has been an overpayment of $1 or more, the bureau shall issue a credit to the licensee which may be applied against the amount of assessment due in succeeding quarters. Overpayments of less than $1 are negated.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203D.3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21—92.6</w:t>
      </w:r>
      <w:r>
        <w:rPr>
          <w:rFonts w:ascii="Times New Roman" w:hAnsi="Times New Roman"/>
          <w:b/>
          <w:i w:val="false"/>
          <w:color w:val="000000"/>
          <w:sz w:val="22"/>
        </w:rPr>
        <w:t xml:space="preserve">(203D) </w:t>
      </w:r>
      <w:r>
        <w:rPr>
          <w:rFonts w:ascii="Times New Roman" w:hAnsi="Times New Roman"/>
          <w:b/>
          <w:i w:val="false"/>
          <w:color w:val="000000"/>
          <w:sz w:val="22"/>
        </w:rPr>
        <w:t xml:space="preserve">Penalty for delinquent payment of per-bushel fee discovered during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92.6(1)</w:t>
      </w:r>
      <w:r>
        <w:rPr>
          <w:rFonts w:ascii="Times New Roman" w:hAnsi="Times New Roman"/>
          <w:b w:val="false"/>
          <w:i w:val="false"/>
          <w:color w:val="000000"/>
          <w:sz w:val="22"/>
        </w:rPr>
        <w:t> </w:t>
      </w:r>
      <w:r>
        <w:rPr>
          <w:rFonts w:ascii="Times New Roman" w:hAnsi="Times New Roman"/>
          <w:b w:val="false"/>
          <w:i/>
          <w:color w:val="000000"/>
          <w:sz w:val="22"/>
        </w:rPr>
        <w:t xml:space="preserve">Delinquent payments defined. </w:t>
      </w:r>
      <w:r>
        <w:rPr>
          <w:rFonts w:ascii="Times New Roman" w:hAnsi="Times New Roman"/>
          <w:b w:val="false"/>
          <w:i w:val="false"/>
          <w:color w:val="000000"/>
          <w:sz w:val="22"/>
        </w:rPr>
        <w:t>In regard to an underpayment discovered during the performance of an examination, the licensee is deemed to be delinquent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underpayment for any quarter exceeds the margin of error, which for this rule is the greater of $100 or 50 percent of the per-bushel fee due for the quarter in question, as determined by the grain warehouse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underpayment is within the margin of error provided, but the amount of the underpayment has not been received on or before the fifth day after the licensee is notified of the underpayment in the examiner’s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92.6(2)</w:t>
      </w:r>
      <w:r>
        <w:rPr>
          <w:rFonts w:ascii="Times New Roman" w:hAnsi="Times New Roman"/>
          <w:b w:val="false"/>
          <w:i w:val="false"/>
          <w:color w:val="000000"/>
          <w:sz w:val="22"/>
        </w:rPr>
        <w:t> </w:t>
      </w:r>
      <w:r>
        <w:rPr>
          <w:rFonts w:ascii="Times New Roman" w:hAnsi="Times New Roman"/>
          <w:b w:val="false"/>
          <w:i/>
          <w:color w:val="000000"/>
          <w:sz w:val="22"/>
        </w:rPr>
        <w:t xml:space="preserve">Negated amounts. </w:t>
      </w:r>
      <w:r>
        <w:rPr>
          <w:rFonts w:ascii="Times New Roman" w:hAnsi="Times New Roman"/>
          <w:b w:val="false"/>
          <w:i w:val="false"/>
          <w:color w:val="000000"/>
          <w:sz w:val="22"/>
        </w:rPr>
        <w:t>Underpayments of less than $1 are negated and do not constitute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92.6(3)</w:t>
      </w:r>
      <w:r>
        <w:rPr>
          <w:rFonts w:ascii="Times New Roman" w:hAnsi="Times New Roman"/>
          <w:b w:val="false"/>
          <w:i w:val="false"/>
          <w:color w:val="000000"/>
          <w:sz w:val="22"/>
        </w:rPr>
        <w:t> </w:t>
      </w:r>
      <w:r>
        <w:rPr>
          <w:rFonts w:ascii="Times New Roman" w:hAnsi="Times New Roman"/>
          <w:b w:val="false"/>
          <w:i/>
          <w:color w:val="000000"/>
          <w:sz w:val="22"/>
        </w:rPr>
        <w:t xml:space="preserve">Penalty amount. </w:t>
      </w:r>
      <w:r>
        <w:rPr>
          <w:rFonts w:ascii="Times New Roman" w:hAnsi="Times New Roman"/>
          <w:b w:val="false"/>
          <w:i w:val="false"/>
          <w:color w:val="000000"/>
          <w:sz w:val="22"/>
        </w:rPr>
        <w:t>If the licensee is delinquent, the penalty is the lesser of the amount of the deficiency or $10 per day for each day after the due date for the quarter in question, through the earlier of the date the underpayment is received or the date the licensee’s license has expired or has been revoked or canceled. However, a delinquent payment is subject to a minimum penalty amount of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92.6(4)</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 and revocation for failure to pay. </w:t>
      </w:r>
      <w:r>
        <w:rPr>
          <w:rFonts w:ascii="Times New Roman" w:hAnsi="Times New Roman"/>
          <w:b w:val="false"/>
          <w:i w:val="false"/>
          <w:color w:val="000000"/>
          <w:sz w:val="22"/>
        </w:rPr>
        <w:t>If the underpayment is not received within 30 days after the date of the examiner’s report, the grain dealer’s or warehouse operator’s license shall be suspended. If the underpayment is not received within 30 days after suspension, the license shall be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92.6(5)</w:t>
      </w:r>
      <w:r>
        <w:rPr>
          <w:rFonts w:ascii="Times New Roman" w:hAnsi="Times New Roman"/>
          <w:b w:val="false"/>
          <w:i w:val="false"/>
          <w:color w:val="000000"/>
          <w:sz w:val="22"/>
        </w:rPr>
        <w:t> </w:t>
      </w:r>
      <w:r>
        <w:rPr>
          <w:rFonts w:ascii="Times New Roman" w:hAnsi="Times New Roman"/>
          <w:b w:val="false"/>
          <w:i/>
          <w:color w:val="000000"/>
          <w:sz w:val="22"/>
        </w:rPr>
        <w:t xml:space="preserve">Overpayments. </w:t>
      </w:r>
      <w:r>
        <w:rPr>
          <w:rFonts w:ascii="Times New Roman" w:hAnsi="Times New Roman"/>
          <w:b w:val="false"/>
          <w:i w:val="false"/>
          <w:color w:val="000000"/>
          <w:sz w:val="22"/>
        </w:rPr>
        <w:t>If, during the performance of any examination, the warehouse bureau determines that there has been an overpayment of $1 or more, the warehouse bureau shall issue a credit to the licensee which may be applied against the amount of assessment due in succeeding quarters. Overpayments of less than $1 are negated.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203D.3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203D.3A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9388B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5/19/86—published 6/4/86, effective 5/19/86]</w:t>
      </w:r>
    </w:p>
    <w:p>
      <w:pPr>
        <w:spacing w:before="0" w:after="0"/>
        <w:ind w:left="120"/>
        <w:jc w:val="center"/>
      </w:pPr>
      <w:r>
        <w:rPr>
          <w:rFonts w:ascii="Times New Roman" w:hAnsi="Times New Roman"/>
          <w:b w:val="false"/>
          <w:i w:val="false"/>
          <w:color w:val="000000"/>
          <w:sz w:val="21"/>
        </w:rPr>
        <w:t>[Filed emergency 7/14/86—published 7/30/86, effective 7/14/86]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12/2/86—published 12/31/86, effective 12/2/86]</w:t>
      </w:r>
    </w:p>
    <w:p>
      <w:pPr>
        <w:spacing w:before="0" w:after="0"/>
        <w:ind w:left="120"/>
        <w:jc w:val="center"/>
      </w:pPr>
      <w:r>
        <w:rPr>
          <w:rFonts w:ascii="Times New Roman" w:hAnsi="Times New Roman"/>
          <w:b w:val="false"/>
          <w:i w:val="false"/>
          <w:color w:val="000000"/>
          <w:sz w:val="21"/>
        </w:rPr>
        <w:t>[Filed 2/6/87, Notice 12/31/86—published 2/25/87, effective 4/1/87]</w:t>
      </w:r>
    </w:p>
    <w:p>
      <w:pPr>
        <w:spacing w:before="0" w:after="0"/>
        <w:ind w:left="120"/>
        <w:jc w:val="center"/>
      </w:pPr>
      <w:r>
        <w:rPr>
          <w:rFonts w:ascii="Times New Roman" w:hAnsi="Times New Roman"/>
          <w:b w:val="false"/>
          <w:i w:val="false"/>
          <w:color w:val="000000"/>
          <w:sz w:val="21"/>
        </w:rPr>
        <w:t>[Filed emergency 9/30/87—published 10/21/87, effective 9/30/87]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10/21/05, Notice 9/14/05—published 11/23/05, effective 12/28/05]</w:t>
      </w:r>
    </w:p>
    <w:p>
      <w:pPr>
        <w:spacing w:before="0" w:after="0"/>
        <w:ind w:left="120"/>
        <w:jc w:val="center"/>
      </w:pPr>
      <w:r>
        <w:rPr>
          <w:rFonts w:ascii="Times New Roman" w:hAnsi="Times New Roman"/>
          <w:b w:val="false"/>
          <w:i w:val="false"/>
          <w:color w:val="000000"/>
          <w:sz w:val="21"/>
        </w:rPr>
        <w:t>[Filed ARC 9388B</w:t>
      </w:r>
      <w:r>
        <w:rPr>
          <w:rFonts w:ascii="Times New Roman" w:hAnsi="Times New Roman"/>
          <w:b w:val="false"/>
          <w:i w:val="false"/>
          <w:color w:val="000000"/>
          <w:sz w:val="21"/>
        </w:rPr>
        <w:t xml:space="preserve"> (Notice ARC 9165B, IAB 10/20/10)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2105C</w:t>
      </w:r>
      <w:r>
        <w:rPr>
          <w:rFonts w:ascii="Times New Roman" w:hAnsi="Times New Roman"/>
          <w:b w:val="false"/>
          <w:i w:val="false"/>
          <w:color w:val="000000"/>
          <w:sz w:val="21"/>
        </w:rPr>
        <w:t xml:space="preserve"> (Notice ARC 2042C, IAB 6/24/15)</w:t>
      </w:r>
      <w:r>
        <w:rPr>
          <w:rFonts w:ascii="Times New Roman" w:hAnsi="Times New Roman"/>
          <w:b w:val="false"/>
          <w:i w:val="false"/>
          <w:color w:val="000000"/>
          <w:sz w:val="21"/>
        </w:rPr>
        <w:t>, IAB 8/19/15, effective 9/23/15]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92.2.pdf" Type="http://schemas.openxmlformats.org/officeDocument/2006/relationships/hyperlink" Id="rId5"/>
    <Relationship TargetMode="External" Target="https://www.legis.iowa.gov/docs/ico/chapter/203.3.pdf" Type="http://schemas.openxmlformats.org/officeDocument/2006/relationships/hyperlink" Id="rId6"/>
    <Relationship TargetMode="External" Target="https://www.legis.iowa.gov/docs/ico/chapter/203C.6.pdf" Type="http://schemas.openxmlformats.org/officeDocument/2006/relationships/hyperlink" Id="rId7"/>
    <Relationship TargetMode="External" Target="https://www.legis.iowa.gov/docs/ico/chapter/203D.5.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rule/21.92.2.pdf" Type="http://schemas.openxmlformats.org/officeDocument/2006/relationships/hyperlink" Id="rId10"/>
    <Relationship TargetMode="External" Target="https://www.legis.iowa.gov/docs/ico/chapter/203D.3.pdf" Type="http://schemas.openxmlformats.org/officeDocument/2006/relationships/hyperlink" Id="rId11"/>
    <Relationship TargetMode="External" Target="https://www.legis.iowa.gov/docs/ico/chapter/203D.3A.pdf" Type="http://schemas.openxmlformats.org/officeDocument/2006/relationships/hyperlink" Id="rId12"/>
    <Relationship TargetMode="External" Target="https://www.legis.iowa.gov/docs/ico/chapter/203D.5.pdf" Type="http://schemas.openxmlformats.org/officeDocument/2006/relationships/hyperlink" Id="rId13"/>
    <Relationship TargetMode="External" Target="https://www.legis.iowa.gov/docs/ico/chapter/203D.3A.pdf" Type="http://schemas.openxmlformats.org/officeDocument/2006/relationships/hyperlink" Id="rId14"/>
    <Relationship TargetMode="External" Target="https://www.legis.iowa.gov/docs/ico/chapter/203D.5.pdf" Type="http://schemas.openxmlformats.org/officeDocument/2006/relationships/hyperlink" Id="rId15"/>
    <Relationship TargetMode="External" Target="https://www.legis.iowa.gov/docs/iac/rule/21.92.4.pdf" Type="http://schemas.openxmlformats.org/officeDocument/2006/relationships/hyperlink" Id="rId16"/>
    <Relationship TargetMode="External" Target="https://www.legis.iowa.gov/docs/ico/chapter/203D.3A.pdf" Type="http://schemas.openxmlformats.org/officeDocument/2006/relationships/hyperlink" Id="rId17"/>
    <Relationship TargetMode="External" Target="https://www.legis.iowa.gov/docs/ico/chapter/203D.5.pdf" Type="http://schemas.openxmlformats.org/officeDocument/2006/relationships/hyperlink" Id="rId18"/>
    <Relationship TargetMode="External" Target="https://www.legis.iowa.gov/docs/ico/chapter/203D.3A.pdf" Type="http://schemas.openxmlformats.org/officeDocument/2006/relationships/hyperlink" Id="rId19"/>
    <Relationship TargetMode="External" Target="https://www.legis.iowa.gov/docs/iac/rule/21.92.2.pdf" Type="http://schemas.openxmlformats.org/officeDocument/2006/relationships/hyperlink" Id="rId20"/>
    <Relationship TargetMode="External" Target="https://www.legis.iowa.gov/docs/iac/rule/21.92.4.pdf" Type="http://schemas.openxmlformats.org/officeDocument/2006/relationships/hyperlink" Id="rId21"/>
    <Relationship TargetMode="External" Target="https://www.legis.iowa.gov/docs/iac/rule/21.92.4.pdf" Type="http://schemas.openxmlformats.org/officeDocument/2006/relationships/hyperlink" Id="rId22"/>
    <Relationship TargetMode="External" Target="https://www.legis.iowa.gov/docs/iac/rule/21.92.4.pdf" Type="http://schemas.openxmlformats.org/officeDocument/2006/relationships/hyperlink" Id="rId23"/>
    <Relationship TargetMode="External" Target="https://www.legis.iowa.gov/docs/ico/chapter/4.1.pdf" Type="http://schemas.openxmlformats.org/officeDocument/2006/relationships/hyperlink" Id="rId24"/>
    <Relationship TargetMode="External" Target="https://www.legis.iowa.gov/docs/ico/chapter/203D.3.pdf" Type="http://schemas.openxmlformats.org/officeDocument/2006/relationships/hyperlink" Id="rId25"/>
    <Relationship TargetMode="External" Target="https://www.legis.iowa.gov/docs/ico/chapter/203D.3A.pdf" Type="http://schemas.openxmlformats.org/officeDocument/2006/relationships/hyperlink" Id="rId26"/>
    <Relationship TargetMode="External" Target="https://www.legis.iowa.gov/docs/ico/chapter/203D.3.pdf" Type="http://schemas.openxmlformats.org/officeDocument/2006/relationships/hyperlink" Id="rId27"/>
    <Relationship TargetMode="External" Target="https://www.legis.iowa.gov/docs/ico/chapter/203D.3A.pdf" Type="http://schemas.openxmlformats.org/officeDocument/2006/relationships/hyperlink" Id="rId28"/>
    <Relationship TargetMode="External" Target="https://www.legis.iowa.gov/docs/ico/chapter/203D.3.pdf" Type="http://schemas.openxmlformats.org/officeDocument/2006/relationships/hyperlink" Id="rId29"/>
    <Relationship TargetMode="External" Target="https://www.legis.iowa.gov/docs/ico/chapter/203D.3A.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