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WAIVER OF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21—8.1</w:t>
      </w:r>
      <w:r>
        <w:rPr>
          <w:rFonts w:ascii="Times New Roman" w:hAnsi="Times New Roman"/>
          <w:b/>
          <w:i w:val="false"/>
          <w:color w:val="000000"/>
          <w:sz w:val="22"/>
        </w:rPr>
        <w:t xml:space="preserve">(17A,159) </w:t>
      </w:r>
      <w:r>
        <w:rPr>
          <w:rFonts w:ascii="Times New Roman" w:hAnsi="Times New Roman"/>
          <w:b/>
          <w:i w:val="false"/>
          <w:color w:val="000000"/>
          <w:sz w:val="22"/>
        </w:rPr>
        <w:t xml:space="preserve">Definition. </w:t>
      </w:r>
      <w:r>
        <w:rPr>
          <w:rFonts w:ascii="Times New Roman" w:hAnsi="Times New Roman"/>
          <w:b w:val="false"/>
          <w:i w:val="false"/>
          <w:color w:val="000000"/>
          <w:sz w:val="22"/>
        </w:rPr>
        <w:t xml:space="preserve">For purposes of this chapter, a “waiver” means action by the department which suspends in whole or in part the requirements or provisions of a rule as applied to an identified person on the basis of the particular circumstances of that person.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5721C</w:t>
      </w:r>
      <w:r>
        <w:rPr>
          <w:rFonts w:ascii="Times New Roman" w:hAnsi="Times New Roman"/>
          <w:b w:val="false"/>
          <w:i w:val="false"/>
          <w:color w:val="000000"/>
          <w:sz w:val="16"/>
        </w:rPr>
        <w:t>, IAB 6/30/21, effective 8/4/21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21—8.2</w:t>
      </w:r>
      <w:r>
        <w:rPr>
          <w:rFonts w:ascii="Times New Roman" w:hAnsi="Times New Roman"/>
          <w:b/>
          <w:i w:val="false"/>
          <w:color w:val="000000"/>
          <w:sz w:val="22"/>
        </w:rPr>
        <w:t xml:space="preserve">(17A,159)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outlines generally applicable standards and a uniform process for the granting of individual waivers from rules adopted by the department in situations where no other more specifically applicable law provides for waivers. To the extent another more specific provision of law governs the issuance of a waiver from a particular rule, the more specific provision shall supersede this chapter with respect to any waiver from that rule.</w:t>
      </w:r>
    </w:p>
    <w:p>
      <w:pPr>
        <w:spacing w:before="210" w:after="0"/>
        <w:ind w:left="120"/>
        <w:jc w:val="both"/>
      </w:pPr>
      <w:r>
        <w:rPr>
          <w:rFonts w:ascii="Times New Roman" w:hAnsi="Times New Roman"/>
          <w:b/>
          <w:i w:val="false"/>
          <w:color w:val="000000"/>
          <w:sz w:val="22"/>
        </w:rPr>
        <w:t>21—8.3</w:t>
      </w:r>
      <w:r>
        <w:rPr>
          <w:rFonts w:ascii="Times New Roman" w:hAnsi="Times New Roman"/>
          <w:b/>
          <w:i w:val="false"/>
          <w:color w:val="000000"/>
          <w:sz w:val="22"/>
        </w:rPr>
        <w:t xml:space="preserve">(17A,159)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department may grant a waiver from a rule only if the department has jurisdiction over the rule and the requested waiver is consistent with applicable statutes, constitutional provisions, or other provisions of law. The department may not waive requirements created or duties imposed by statute.</w:t>
      </w:r>
    </w:p>
    <w:p>
      <w:pPr>
        <w:spacing w:before="0" w:after="0"/>
        <w:ind w:left="120"/>
        <w:jc w:val="both"/>
      </w:pPr>
      <w:r>
        <w:rPr>
          <w:rFonts w:ascii="Times New Roman" w:hAnsi="Times New Roman"/>
          <w:b/>
          <w:i w:val="false"/>
          <w:color w:val="000000"/>
          <w:sz w:val="22"/>
        </w:rPr>
        <w:t>21—8.4</w:t>
      </w:r>
      <w:r>
        <w:rPr>
          <w:rFonts w:ascii="Times New Roman" w:hAnsi="Times New Roman"/>
          <w:b/>
          <w:i w:val="false"/>
          <w:color w:val="000000"/>
          <w:sz w:val="22"/>
        </w:rPr>
        <w:t xml:space="preserve">(17A,159)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In response to a petition completed pursuant to rule </w:t>
      </w:r>
      <w:hyperlink r:id="rId5">
        <w:r>
          <w:rPr>
            <w:rStyle w:val="Hyperlink"/>
            <w:rFonts w:ascii="Times New Roman" w:hAnsi="Times New Roman"/>
            <w:b w:val="false"/>
            <w:i w:val="false"/>
            <w:color w:val="000000"/>
            <w:sz w:val="22"/>
          </w:rPr>
          <w:t>21—8.6</w:t>
        </w:r>
      </w:hyperlink>
      <w:r>
        <w:rPr>
          <w:rFonts w:ascii="Times New Roman" w:hAnsi="Times New Roman"/>
          <w:b w:val="false"/>
          <w:i w:val="false"/>
          <w:color w:val="000000"/>
          <w:sz w:val="22"/>
        </w:rPr>
        <w:t>(17A,159), the department may in its sole discretion issue an order waiving in whole or in part the requirements of a rule if the department finds, based on clear and convincing evidence,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provisions of the rule subject to the petition for a waiver are not specifically mandated by statute or another provision of law.</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5721C</w:t>
      </w:r>
      <w:r>
        <w:rPr>
          <w:rFonts w:ascii="Times New Roman" w:hAnsi="Times New Roman"/>
          <w:b w:val="false"/>
          <w:i w:val="false"/>
          <w:color w:val="000000"/>
          <w:sz w:val="16"/>
        </w:rPr>
        <w:t>, IAB 6/30/21, effective 8/4/21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21—8.5</w:t>
      </w:r>
      <w:r>
        <w:rPr>
          <w:rFonts w:ascii="Times New Roman" w:hAnsi="Times New Roman"/>
          <w:b/>
          <w:i w:val="false"/>
          <w:color w:val="000000"/>
          <w:sz w:val="22"/>
        </w:rPr>
        <w:t xml:space="preserve">(17A,159)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submitted in writing to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If the petition relates to a license application, the petition shall be made in accordance with the filing requirements for the license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license application or a pending contested case, the petition may be submitted to the bureau chief of the bureau administering the rule from which the waiver is sought.</w:t>
      </w:r>
    </w:p>
    <w:p>
      <w:pPr>
        <w:spacing w:before="0" w:after="0"/>
        <w:ind w:left="120"/>
        <w:jc w:val="both"/>
      </w:pPr>
      <w:r>
        <w:rPr>
          <w:rFonts w:ascii="Times New Roman" w:hAnsi="Times New Roman"/>
          <w:b/>
          <w:i w:val="false"/>
          <w:color w:val="000000"/>
          <w:sz w:val="22"/>
        </w:rPr>
        <w:t>21—8.6</w:t>
      </w:r>
      <w:r>
        <w:rPr>
          <w:rFonts w:ascii="Times New Roman" w:hAnsi="Times New Roman"/>
          <w:b/>
          <w:i w:val="false"/>
          <w:color w:val="000000"/>
          <w:sz w:val="22"/>
        </w:rPr>
        <w:t xml:space="preserve">(17A,159)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entity or person for whom a waiver is being requested and the case number of any related contested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relevant facts that the petitioner believes would justify a waiver under each of the four criteria described in rule </w:t>
      </w:r>
      <w:hyperlink r:id="rId6">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(17A,159).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prior contacts between the department and the petitioner relating to the regulated activity or license affected by the proposed waiver, including a description of each affected license held by the requester, any notices of violation, contested case hearings, or investigative reports relating to the regulated activity or license within the last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known to the requester regarding the department’s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of information authorizing persons with knowledge regarding the request to furnish the department with information relevant to the waiver.</w:t>
      </w:r>
    </w:p>
    <w:p>
      <w:pPr>
        <w:spacing w:before="210" w:after="0"/>
        <w:ind w:left="120"/>
        <w:jc w:val="both"/>
      </w:pPr>
      <w:r>
        <w:rPr>
          <w:rFonts w:ascii="Times New Roman" w:hAnsi="Times New Roman"/>
          <w:b/>
          <w:i w:val="false"/>
          <w:color w:val="000000"/>
          <w:sz w:val="22"/>
        </w:rPr>
        <w:t>21—8.7</w:t>
      </w:r>
      <w:r>
        <w:rPr>
          <w:rFonts w:ascii="Times New Roman" w:hAnsi="Times New Roman"/>
          <w:b/>
          <w:i w:val="false"/>
          <w:color w:val="000000"/>
          <w:sz w:val="22"/>
        </w:rPr>
        <w:t xml:space="preserve">(17A,159)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department may request additional information from the petitioner relative to the petition and surrounding circumstances. If the petition was not filed in a contested case, the department may, on its own motion or at the petitioner’s request, schedule a telephonic or in-person meeting between the petitioner and the department.</w:t>
      </w:r>
    </w:p>
    <w:p>
      <w:pPr>
        <w:spacing w:before="210" w:after="0"/>
        <w:ind w:left="120"/>
        <w:jc w:val="both"/>
      </w:pPr>
      <w:r>
        <w:rPr>
          <w:rFonts w:ascii="Times New Roman" w:hAnsi="Times New Roman"/>
          <w:b/>
          <w:i w:val="false"/>
          <w:color w:val="000000"/>
          <w:sz w:val="22"/>
        </w:rPr>
        <w:t>21—8.8</w:t>
      </w:r>
      <w:r>
        <w:rPr>
          <w:rFonts w:ascii="Times New Roman" w:hAnsi="Times New Roman"/>
          <w:b/>
          <w:i w:val="false"/>
          <w:color w:val="000000"/>
          <w:sz w:val="22"/>
        </w:rPr>
        <w:t xml:space="preserve">(17A,159) </w:t>
      </w:r>
      <w:r>
        <w:rPr>
          <w:rFonts w:ascii="Times New Roman" w:hAnsi="Times New Roman"/>
          <w:b/>
          <w:i w:val="false"/>
          <w:color w:val="000000"/>
          <w:sz w:val="22"/>
        </w:rPr>
        <w:t xml:space="preserve">Notice. </w:t>
      </w:r>
      <w:r>
        <w:rPr>
          <w:rFonts w:ascii="Times New Roman" w:hAnsi="Times New Roman"/>
          <w:b w:val="false"/>
          <w:i w:val="false"/>
          <w:color w:val="000000"/>
          <w:sz w:val="22"/>
        </w:rPr>
        <w:t>The department shall acknowledge a petition upon receipt. The department shall ensure that, within 30 days of the receipt of the petition, notice of the pendency of the petition and a concise summary of its contents have been provided to all persons to whom notice is required by any provision of law. In addition, the department may give notice to other persons. To accomplish this notice provision, the department may require the petitioner to serve the notice on all persons to whom notice is required by any provision of law and provide a written statement to the department attesting that notice has been provided.</w:t>
      </w:r>
    </w:p>
    <w:p>
      <w:pPr>
        <w:spacing w:before="210" w:after="0"/>
        <w:ind w:left="120"/>
        <w:jc w:val="both"/>
      </w:pPr>
      <w:r>
        <w:rPr>
          <w:rFonts w:ascii="Times New Roman" w:hAnsi="Times New Roman"/>
          <w:b/>
          <w:i w:val="false"/>
          <w:color w:val="000000"/>
          <w:sz w:val="22"/>
        </w:rPr>
        <w:t>21—8.9</w:t>
      </w:r>
      <w:r>
        <w:rPr>
          <w:rFonts w:ascii="Times New Roman" w:hAnsi="Times New Roman"/>
          <w:b/>
          <w:i w:val="false"/>
          <w:color w:val="000000"/>
          <w:sz w:val="22"/>
        </w:rPr>
        <w:t xml:space="preserve">(17A,159)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7">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to any petition for a waiver filed within a contested case and shall otherwise apply to agency proceedings for a waiver only when the department so provides by rule or order or is required to do so by statute.</w:t>
      </w:r>
    </w:p>
    <w:p>
      <w:pPr>
        <w:spacing w:before="0" w:after="0"/>
        <w:ind w:left="120"/>
        <w:jc w:val="both"/>
      </w:pPr>
      <w:r>
        <w:rPr>
          <w:rFonts w:ascii="Times New Roman" w:hAnsi="Times New Roman"/>
          <w:b/>
          <w:i w:val="false"/>
          <w:color w:val="000000"/>
          <w:sz w:val="22"/>
        </w:rPr>
        <w:t>21—8.10</w:t>
      </w:r>
      <w:r>
        <w:rPr>
          <w:rFonts w:ascii="Times New Roman" w:hAnsi="Times New Roman"/>
          <w:b/>
          <w:i w:val="false"/>
          <w:color w:val="000000"/>
          <w:sz w:val="22"/>
        </w:rPr>
        <w:t xml:space="preserve">(17A,159)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8.10(1)</w:t>
      </w:r>
      <w:r>
        <w:rPr>
          <w:rFonts w:ascii="Times New Roman" w:hAnsi="Times New Roman"/>
          <w:b w:val="false"/>
          <w:i w:val="false"/>
          <w:color w:val="000000"/>
          <w:sz w:val="22"/>
        </w:rPr>
        <w:t> </w:t>
      </w:r>
      <w:r>
        <w:rPr>
          <w:rFonts w:ascii="Times New Roman" w:hAnsi="Times New Roman"/>
          <w:b w:val="false"/>
          <w:i/>
          <w:color w:val="000000"/>
          <w:sz w:val="22"/>
        </w:rPr>
        <w:t xml:space="preserve">Department discretion. </w:t>
      </w:r>
      <w:r>
        <w:rPr>
          <w:rFonts w:ascii="Times New Roman" w:hAnsi="Times New Roman"/>
          <w:b w:val="false"/>
          <w:i w:val="false"/>
          <w:color w:val="000000"/>
          <w:sz w:val="22"/>
        </w:rPr>
        <w:t>The final decision on whether the circumstances justify the granting of a waiver shall be made at the sole discretion of the department, upon consideration of all relevant factors. Each petition for a waiver shall be evaluated by the department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department should exercise its discretion to grant a waiver from a department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8.10(3)</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department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department may place any condition on a waiver that the department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department, a waiver may be renewed if the department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department shall grant or deny a petition for a waiver as soon as practicable but, in any event, shall do so within 120 days of its receipt unless the petitioner agrees to a later date. However, if a petition is filed in a contested case, the department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department to grant or deny a petition within the required time period shall be deemed a denial of that petition by the department. However, the department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210" w:after="0"/>
        <w:ind w:left="120"/>
        <w:jc w:val="both"/>
      </w:pPr>
      <w:r>
        <w:rPr>
          <w:rFonts w:ascii="Times New Roman" w:hAnsi="Times New Roman"/>
          <w:b/>
          <w:i w:val="false"/>
          <w:color w:val="000000"/>
          <w:sz w:val="22"/>
        </w:rPr>
        <w:t>21—8.11</w:t>
      </w:r>
      <w:r>
        <w:rPr>
          <w:rFonts w:ascii="Times New Roman" w:hAnsi="Times New Roman"/>
          <w:b/>
          <w:i w:val="false"/>
          <w:color w:val="000000"/>
          <w:sz w:val="22"/>
        </w:rPr>
        <w:t xml:space="preserve">(17A,159)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department is authorized or required to keep confidential. The department may accordingly redact confidential information from petitions or orders prior to public inspection.</w:t>
      </w:r>
    </w:p>
    <w:p>
      <w:pPr>
        <w:spacing w:before="0" w:after="0"/>
        <w:ind w:left="120"/>
        <w:jc w:val="both"/>
      </w:pPr>
      <w:r>
        <w:rPr>
          <w:rFonts w:ascii="Times New Roman" w:hAnsi="Times New Roman"/>
          <w:b/>
          <w:i w:val="false"/>
          <w:color w:val="000000"/>
          <w:sz w:val="22"/>
        </w:rPr>
        <w:t>21—8.12</w:t>
      </w:r>
      <w:r>
        <w:rPr>
          <w:rFonts w:ascii="Times New Roman" w:hAnsi="Times New Roman"/>
          <w:b/>
          <w:i w:val="false"/>
          <w:color w:val="000000"/>
          <w:sz w:val="22"/>
        </w:rPr>
        <w:t xml:space="preserve">(17A,159)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 xml:space="preserve">Within 60 days of granting or denying a waiver, the department shall make a submission on the Internet site established pursuant to Iowa Code section 17A.9A for the submission of waiver information. The submission shall identify the rules for which a waiver has been granted or denied, the number of times a waiver was granted or denied for each rule, a citation to the statutory provisions implemented by these rules, and a general summary of the reasons justifying the department’s actions on waiver requests. If practicable, the report shall detail the extent to which the granting of a waiver has affected the general applicability of the rule itself.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5721C</w:t>
      </w:r>
      <w:r>
        <w:rPr>
          <w:rFonts w:ascii="Times New Roman" w:hAnsi="Times New Roman"/>
          <w:b w:val="false"/>
          <w:i w:val="false"/>
          <w:color w:val="000000"/>
          <w:sz w:val="16"/>
        </w:rPr>
        <w:t>, IAB 6/30/21, effective 8/4/21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21—8.13</w:t>
      </w:r>
      <w:r>
        <w:rPr>
          <w:rFonts w:ascii="Times New Roman" w:hAnsi="Times New Roman"/>
          <w:b/>
          <w:i w:val="false"/>
          <w:color w:val="000000"/>
          <w:sz w:val="22"/>
        </w:rPr>
        <w:t xml:space="preserve">(17A,159)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department pursuant to this chapter may be withdrawn, canceled, or modified if, after appropriate notice and hearing, the department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conditions contained in the order.</w:t>
      </w:r>
    </w:p>
    <w:p>
      <w:pPr>
        <w:spacing w:before="210" w:after="0"/>
        <w:ind w:left="120"/>
        <w:jc w:val="both"/>
      </w:pPr>
      <w:r>
        <w:rPr>
          <w:rFonts w:ascii="Times New Roman" w:hAnsi="Times New Roman"/>
          <w:b/>
          <w:i w:val="false"/>
          <w:color w:val="000000"/>
          <w:sz w:val="22"/>
        </w:rPr>
        <w:t>21—8.14</w:t>
      </w:r>
      <w:r>
        <w:rPr>
          <w:rFonts w:ascii="Times New Roman" w:hAnsi="Times New Roman"/>
          <w:b/>
          <w:i w:val="false"/>
          <w:color w:val="000000"/>
          <w:sz w:val="22"/>
        </w:rPr>
        <w:t xml:space="preserve">(17A,159)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shall be treated as a violation of the particular rule for which the waiver was granted. As a result, the recipient of a waiver under this chapter who violates a condition of the waiver may be subject to the same remedies or penalties as a person who violates the rule at issue.</w:t>
      </w:r>
    </w:p>
    <w:p>
      <w:pPr>
        <w:spacing w:before="210" w:after="0"/>
        <w:ind w:left="120"/>
        <w:jc w:val="both"/>
      </w:pPr>
      <w:r>
        <w:rPr>
          <w:rFonts w:ascii="Times New Roman" w:hAnsi="Times New Roman"/>
          <w:b/>
          <w:i w:val="false"/>
          <w:color w:val="000000"/>
          <w:sz w:val="22"/>
        </w:rPr>
        <w:t>21—8.15</w:t>
      </w:r>
      <w:r>
        <w:rPr>
          <w:rFonts w:ascii="Times New Roman" w:hAnsi="Times New Roman"/>
          <w:b/>
          <w:i w:val="false"/>
          <w:color w:val="000000"/>
          <w:sz w:val="22"/>
        </w:rPr>
        <w:t xml:space="preserve">(17A,159)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department issues an order granting a waiver, the order is a defense within its terms and the specific facts indicated therein for the person to whom the order pertains in any proceeding in which the rule in question is sought to be invoked.</w:t>
      </w:r>
    </w:p>
    <w:p>
      <w:pPr>
        <w:spacing w:before="210" w:after="0"/>
        <w:ind w:left="120"/>
        <w:jc w:val="both"/>
      </w:pPr>
      <w:r>
        <w:rPr>
          <w:rFonts w:ascii="Times New Roman" w:hAnsi="Times New Roman"/>
          <w:b/>
          <w:i w:val="false"/>
          <w:color w:val="000000"/>
          <w:sz w:val="22"/>
        </w:rPr>
        <w:t>21—8.16</w:t>
      </w:r>
      <w:r>
        <w:rPr>
          <w:rFonts w:ascii="Times New Roman" w:hAnsi="Times New Roman"/>
          <w:b/>
          <w:i w:val="false"/>
          <w:color w:val="000000"/>
          <w:sz w:val="22"/>
        </w:rPr>
        <w:t xml:space="preserve">(17A,159)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a department’s decision to grant or deny a waiver petition may be taken in accordance with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chapter </w:t>
      </w:r>
      <w:hyperlink r:id="rId12">
        <w:r>
          <w:rPr>
            <w:rStyle w:val="Hyperlink"/>
            <w:rFonts w:ascii="Times New Roman" w:hAnsi="Times New Roman"/>
            <w:b w:val="false"/>
            <w:i w:val="false"/>
            <w:color w:val="000000"/>
            <w:sz w:val="22"/>
          </w:rPr>
          <w:t>159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8/3/01, Notice 2/21/01—published 8/22/01, effective 9/26/01]</w:t>
      </w:r>
    </w:p>
    <w:p>
      <w:pPr>
        <w:spacing w:before="0" w:after="0"/>
        <w:ind w:left="120"/>
        <w:jc w:val="center"/>
      </w:pPr>
      <w:r>
        <w:rPr>
          <w:rFonts w:ascii="Times New Roman" w:hAnsi="Times New Roman"/>
          <w:b w:val="false"/>
          <w:i w:val="false"/>
          <w:color w:val="000000"/>
          <w:sz w:val="21"/>
        </w:rPr>
        <w:t>[Filed ARC 5721C</w:t>
      </w:r>
      <w:r>
        <w:rPr>
          <w:rFonts w:ascii="Times New Roman" w:hAnsi="Times New Roman"/>
          <w:b w:val="false"/>
          <w:i w:val="false"/>
          <w:color w:val="000000"/>
          <w:sz w:val="21"/>
        </w:rPr>
        <w:t xml:space="preserve"> (Notice ARC 5575C, IAB 4/21/21)</w:t>
      </w:r>
      <w:r>
        <w:rPr>
          <w:rFonts w:ascii="Times New Roman" w:hAnsi="Times New Roman"/>
          <w:b w:val="false"/>
          <w:i w:val="false"/>
          <w:color w:val="000000"/>
          <w:sz w:val="21"/>
        </w:rPr>
        <w:t>, IAB 6/30/21, effective 8/4/21]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1.8.6.pdf" Type="http://schemas.openxmlformats.org/officeDocument/2006/relationships/hyperlink" Id="rId5"/>
    <Relationship TargetMode="External" Target="https://www.legis.iowa.gov/docs/iac/rule/21.8.4.pdf" Type="http://schemas.openxmlformats.org/officeDocument/2006/relationships/hyperlink" Id="rId6"/>
    <Relationship TargetMode="External" Target="https://www.legis.iowa.gov/docs/ico/chapter/17A.10-18A.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7A.9A.pdf" Type="http://schemas.openxmlformats.org/officeDocument/2006/relationships/hyperlink" Id="rId11"/>
    <Relationship TargetMode="External" Target="https://www.legis.iowa.gov/docs/ico/chapter/159.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