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PETITIONS FOR RULE MAKING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 xml:space="preserve">Insert the petition for rule making segment of the Uniform Administrative Rules which is printed in the first Volume of the Iowa Administrative Code with the addition of a new </w:t>
      </w:r>
      <w:hyperlink r:id="rId5">
        <w:r>
          <w:rPr>
            <w:rStyle w:val="Hyperlink"/>
            <w:rFonts w:ascii="Times New Roman" w:hAnsi="Times New Roman"/>
            <w:b w:val="false"/>
            <w:i w:val="false"/>
            <w:color w:val="000000"/>
            <w:sz w:val="22"/>
          </w:rPr>
          <w:t>rule 21—3.5(17A)</w:t>
        </w:r>
      </w:hyperlink>
      <w:r>
        <w:rPr>
          <w:rFonts w:ascii="Times New Roman" w:hAnsi="Times New Roman"/>
          <w:b w:val="false"/>
          <w:i w:val="false"/>
          <w:color w:val="000000"/>
          <w:sz w:val="22"/>
        </w:rPr>
        <w:t xml:space="preserve"> and the following amendments:</w:t>
      </w:r>
    </w:p>
    <w:p>
      <w:pPr>
        <w:spacing w:before="0" w:after="0"/>
        <w:ind w:left="120"/>
        <w:jc w:val="both"/>
      </w:pPr>
      <w:r>
        <w:rPr>
          <w:rFonts w:ascii="Times New Roman" w:hAnsi="Times New Roman"/>
          <w:b/>
          <w:i w:val="false"/>
          <w:color w:val="000000"/>
          <w:sz w:val="22"/>
        </w:rPr>
        <w:t>21—3.1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In lieu of the words “agency, at (designate office)” insert “Secretary of Agriculture at the Iowa Department of Agriculture and Land Stewardship, Wallace State Office Building, Des Moines, Iowa 50319”. In lieu of the words “(AGENCY NAME)”, the heading on the petition should read: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BEFORE THE</w:t>
      </w:r>
    </w:p>
    <w:p>
      <w:pPr>
        <w:spacing w:before="0" w:after="0"/>
        <w:ind w:left="120"/>
        <w:jc w:val="center"/>
      </w:pPr>
      <w:r>
        <w:rPr>
          <w:rFonts w:ascii="Times New Roman" w:hAnsi="Times New Roman"/>
          <w:b w:val="false"/>
          <w:i w:val="false"/>
          <w:color w:val="000000"/>
          <w:sz w:val="22"/>
        </w:rPr>
        <w:t>SECRETARY OF AGRICULTURE</w:t>
      </w:r>
    </w:p>
    <w:p>
      <w:pPr>
        <w:spacing w:before="0" w:after="0"/>
        <w:ind w:left="120"/>
        <w:jc w:val="center"/>
      </w:pPr>
      <w:r>
        <w:rPr>
          <w:rFonts w:ascii="Times New Roman" w:hAnsi="Times New Roman"/>
          <w:b w:val="false"/>
          <w:i w:val="false"/>
          <w:color w:val="000000"/>
          <w:sz w:val="22"/>
        </w:rPr>
        <w:t>DEPARTMENT OF AGRICULTURE AND LAND STEWARDSHIP</w:t>
      </w:r>
    </w:p>
    <w:p>
      <w:pPr>
        <w:spacing w:before="210" w:after="0"/>
        <w:ind w:left="120"/>
        <w:jc w:val="both"/>
      </w:pPr>
      <w:r>
        <w:rPr>
          <w:rFonts w:ascii="Times New Roman" w:hAnsi="Times New Roman"/>
          <w:b/>
          <w:i w:val="false"/>
          <w:color w:val="000000"/>
          <w:sz w:val="22"/>
        </w:rPr>
        <w:t>21—3.3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Substitute the following information for the parenthetical statement at the end: “the Secretary of Agriculture, Iowa Department of Agriculture and Land Stewardship, Wallace State Office Building, Des Moines, Iowa 50319”.</w:t>
      </w:r>
    </w:p>
    <w:p>
      <w:pPr>
        <w:spacing w:before="210" w:after="0"/>
        <w:ind w:left="120"/>
        <w:jc w:val="both"/>
      </w:pPr>
      <w:r>
        <w:rPr>
          <w:rFonts w:ascii="Times New Roman" w:hAnsi="Times New Roman"/>
          <w:b/>
          <w:i w:val="false"/>
          <w:color w:val="000000"/>
          <w:sz w:val="22"/>
        </w:rPr>
        <w:t>21—3.5</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Petitions for related entities. </w:t>
      </w:r>
      <w:r>
        <w:rPr>
          <w:rFonts w:ascii="Times New Roman" w:hAnsi="Times New Roman"/>
          <w:b w:val="false"/>
          <w:i w:val="false"/>
          <w:color w:val="000000"/>
          <w:sz w:val="22"/>
        </w:rPr>
        <w:t>If, pursuant to this chapter, the secretary receives a petition for rule making which is not within the rule-making power of the secretary but which is within the rule-making power of an autonomous or semiautonomous entity within the umbrella of the department of agriculture and land stewardship, the petition will be forwarded to the appropriate entity.</w:t>
      </w:r>
    </w:p>
    <w:p>
      <w:pPr>
        <w:spacing w:before="0" w:after="0"/>
        <w:ind w:left="120"/>
        <w:jc w:val="center"/>
      </w:pPr>
      <w:r>
        <w:rPr>
          <w:rFonts w:ascii="Times New Roman" w:hAnsi="Times New Roman"/>
          <w:b w:val="false"/>
          <w:i w:val="false"/>
          <w:color w:val="000000"/>
          <w:sz w:val="21"/>
        </w:rPr>
        <w:t>[Filed emergency 7/8/88 after Notice 6/1/88—published 7/27/88, effective 7/8/88]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1.3.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