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591—2.1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board may file a petition for rule making with the board at the following address: Administrator, Iowa Comprehensive Petroleum Underground Storage Tank Fund Board, 2700 Westown Parkway, Suite 320, West Des Moines, Iowa 50266. A petition is deemed filed when it is received by that office. The board must provide the petitioner with a file-stamped copy of the petition if the petitioner provides the board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IOWA COMPREHENSIVE PETROLEUM</w:t>
            </w:r>
          </w:p>
          <w:p>
            <w:pPr>
              <w:spacing w:before="0" w:after="0"/>
              <w:ind w:left="160"/>
              <w:jc w:val="center"/>
            </w:pPr>
            <w:r>
              <w:rPr>
                <w:rFonts w:ascii="Times New Roman" w:hAnsi="Times New Roman"/>
                <w:b w:val="false"/>
                <w:i w:val="false"/>
                <w:color w:val="000000"/>
                <w:sz w:val="16"/>
              </w:rPr>
              <w:t>UNDERGROUND STORAGE TANK FUND BOARD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The board may deny a petition because it does not substantially conform to the required form.</w:t>
      </w:r>
    </w:p>
    <w:p>
      <w:pPr>
        <w:spacing w:before="210" w:after="0"/>
        <w:ind w:left="120"/>
        <w:jc w:val="both"/>
      </w:pPr>
      <w:r>
        <w:rPr>
          <w:rFonts w:ascii="Times New Roman" w:hAnsi="Times New Roman"/>
          <w:b/>
          <w:i w:val="false"/>
          <w:color w:val="000000"/>
          <w:sz w:val="22"/>
        </w:rPr>
        <w:t>591—2.2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591—2.3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Administrator, Iowa Comprehensive Petroleum Underground Storage Tank Fund Board, 2700 Westown Parkway, Suite 320, West Des Moines, Iowa 50266.</w:t>
      </w:r>
    </w:p>
    <w:p>
      <w:pPr>
        <w:spacing w:before="0" w:after="0"/>
        <w:ind w:left="120"/>
        <w:jc w:val="both"/>
      </w:pPr>
      <w:r>
        <w:rPr>
          <w:rFonts w:ascii="Times New Roman" w:hAnsi="Times New Roman"/>
          <w:b/>
          <w:i w:val="false"/>
          <w:color w:val="000000"/>
          <w:sz w:val="22"/>
        </w:rPr>
        <w:t>591—2.4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board must submit a copy of the petition and any accompanying brief to the administrative rules coordinator and to the administrative rules review committee. Upon request by petitioner in the petition, the board must schedule a brief and informal meeting between the petitioner and the board, a member of the board, or a member of the staff of the board, to discuss the petition. The board may request the petitioner to submit additional information or argument concerning the petition. The board may also solicit comments from any person on the substance of the petition.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board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board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board’s rejection of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4/26/91—published 5/15/91, effective 4/26/91]</w:t>
      </w:r>
    </w:p>
    <w:p>
      <w:pPr>
        <w:spacing w:before="0" w:after="0"/>
        <w:ind w:left="120"/>
        <w:jc w:val="center"/>
      </w:pPr>
      <w:r>
        <w:rPr>
          <w:rFonts w:ascii="Times New Roman" w:hAnsi="Times New Roman"/>
          <w:b w:val="false"/>
          <w:i w:val="false"/>
          <w:color w:val="000000"/>
          <w:sz w:val="21"/>
        </w:rPr>
        <w:t>[Filed 12/21/00, Notice 10/18/00—published 1/10/01, effective 2/14/01]</w:t>
      </w:r>
    </w:p>
    <w:p>
      <w:pPr>
        <w:spacing w:before="0" w:after="0"/>
        <w:ind w:left="120"/>
        <w:jc w:val="center"/>
      </w:pPr>
      <w:r>
        <w:rPr>
          <w:rFonts w:ascii="Times New Roman" w:hAnsi="Times New Roman"/>
          <w:b w:val="false"/>
          <w:i w:val="false"/>
          <w:color w:val="000000"/>
          <w:sz w:val="21"/>
        </w:rPr>
        <w:t>[Filed 2/1/02, Notice 11/14/01—published 2/20/02, effective 3/27/02]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91.2.4.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