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APPEALS—CONTESTED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591—17.1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shall govern procedure in contested cases as defined under Iowa Code subsection </w:t>
      </w:r>
      <w:hyperlink r:id="rId5">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Contested cases generally include, but are not limited to, appeals of rulings made by the administrator on remedial claims under Iowa Code section </w:t>
      </w:r>
      <w:hyperlink r:id="rId6">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on loans under Iowa Code section </w:t>
      </w:r>
      <w:hyperlink r:id="rId7">
        <w:r>
          <w:rPr>
            <w:rStyle w:val="Hyperlink"/>
            <w:rFonts w:ascii="Times New Roman" w:hAnsi="Times New Roman"/>
            <w:b w:val="false"/>
            <w:i w:val="false"/>
            <w:color w:val="000000"/>
            <w:sz w:val="22"/>
          </w:rPr>
          <w:t>455G.10</w:t>
        </w:r>
      </w:hyperlink>
      <w:r>
        <w:rPr>
          <w:rFonts w:ascii="Times New Roman" w:hAnsi="Times New Roman"/>
          <w:b w:val="false"/>
          <w:i w:val="false"/>
          <w:color w:val="000000"/>
          <w:sz w:val="22"/>
        </w:rPr>
        <w:t xml:space="preserve">, on insurance under Iowa Code section </w:t>
      </w:r>
      <w:hyperlink r:id="rId8">
        <w:r>
          <w:rPr>
            <w:rStyle w:val="Hyperlink"/>
            <w:rFonts w:ascii="Times New Roman" w:hAnsi="Times New Roman"/>
            <w:b w:val="false"/>
            <w:i w:val="false"/>
            <w:color w:val="000000"/>
            <w:sz w:val="22"/>
          </w:rPr>
          <w:t>455G.11</w:t>
        </w:r>
      </w:hyperlink>
      <w:r>
        <w:rPr>
          <w:rFonts w:ascii="Times New Roman" w:hAnsi="Times New Roman"/>
          <w:b w:val="false"/>
          <w:i w:val="false"/>
          <w:color w:val="000000"/>
          <w:sz w:val="22"/>
        </w:rPr>
        <w:t xml:space="preserve">, on prioritization under Iowa Code section </w:t>
      </w:r>
      <w:hyperlink r:id="rId9">
        <w:r>
          <w:rPr>
            <w:rStyle w:val="Hyperlink"/>
            <w:rFonts w:ascii="Times New Roman" w:hAnsi="Times New Roman"/>
            <w:b w:val="false"/>
            <w:i w:val="false"/>
            <w:color w:val="000000"/>
            <w:sz w:val="22"/>
          </w:rPr>
          <w:t>455G.12</w:t>
        </w:r>
      </w:hyperlink>
      <w:r>
        <w:rPr>
          <w:rFonts w:ascii="Times New Roman" w:hAnsi="Times New Roman"/>
          <w:b w:val="false"/>
          <w:i w:val="false"/>
          <w:color w:val="000000"/>
          <w:sz w:val="22"/>
        </w:rPr>
        <w:t xml:space="preserve">, and on cost containment under Iowa Code section </w:t>
      </w:r>
      <w:hyperlink r:id="rId10">
        <w:r>
          <w:rPr>
            <w:rStyle w:val="Hyperlink"/>
            <w:rFonts w:ascii="Times New Roman" w:hAnsi="Times New Roman"/>
            <w:b w:val="false"/>
            <w:i w:val="false"/>
            <w:color w:val="000000"/>
            <w:sz w:val="22"/>
          </w:rPr>
          <w:t>455G.12A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591—17.2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the Iowa comprehensive petroleum underground storage tank fund program administrator as provided for in Iowa Code section </w:t>
      </w:r>
      <w:hyperlink r:id="rId11">
        <w:r>
          <w:rPr>
            <w:rStyle w:val="Hyperlink"/>
            <w:rFonts w:ascii="Times New Roman" w:hAnsi="Times New Roman"/>
            <w:b w:val="false"/>
            <w:i w:val="false"/>
            <w:color w:val="000000"/>
            <w:sz w:val="22"/>
          </w:rPr>
          <w:t>455G.5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comprehensive petroleum underground storage tank fund board or the administrator, as appropriate, having statutory jurisdiction over a particular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w:t>
      </w:r>
      <w:r>
        <w:rPr>
          <w:rFonts w:ascii="Times New Roman" w:hAnsi="Times New Roman"/>
          <w:b w:val="false"/>
          <w:i w:val="false"/>
          <w:color w:val="000000"/>
          <w:sz w:val="22"/>
        </w:rPr>
        <w:t xml:space="preserve">means any of the benefits provided for under Iowa Code chapter </w:t>
      </w:r>
      <w:hyperlink r:id="rId12">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xml:space="preserve"> and subject to UST board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subsection </w:t>
      </w:r>
      <w:hyperlink r:id="rId13">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assigned to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UST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“UST board” </w:t>
      </w:r>
      <w:r>
        <w:rPr>
          <w:rFonts w:ascii="Times New Roman" w:hAnsi="Times New Roman"/>
          <w:b w:val="false"/>
          <w:i w:val="false"/>
          <w:color w:val="000000"/>
          <w:sz w:val="22"/>
        </w:rPr>
        <w:t>means the Iowa comprehensive petroleum underground storage tank fund board.</w:t>
      </w:r>
    </w:p>
    <w:p>
      <w:pPr>
        <w:spacing w:before="210" w:after="0"/>
        <w:ind w:left="120"/>
        <w:jc w:val="both"/>
      </w:pPr>
      <w:r>
        <w:rPr>
          <w:rFonts w:ascii="Times New Roman" w:hAnsi="Times New Roman"/>
          <w:b/>
          <w:i w:val="false"/>
          <w:color w:val="000000"/>
          <w:sz w:val="22"/>
        </w:rPr>
        <w:t>591—17.3</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by written agreement of all parties to the contested case proceeding, waive any provision of this chapter and may, by written agreement of all parties to the contested proceeding, agree to any other rules of procedure for the conduct of the proceeding. However, the UST board or the presiding officer in its discretion may refuse to give effect to such a waiver or agreement when it deems the waiver or agreement to be inconsistent with the public interest.</w:t>
      </w:r>
    </w:p>
    <w:p>
      <w:pPr>
        <w:spacing w:before="210" w:after="0"/>
        <w:ind w:left="120"/>
        <w:jc w:val="both"/>
      </w:pPr>
      <w:r>
        <w:rPr>
          <w:rFonts w:ascii="Times New Roman" w:hAnsi="Times New Roman"/>
          <w:b/>
          <w:i w:val="false"/>
          <w:color w:val="000000"/>
          <w:sz w:val="22"/>
        </w:rPr>
        <w:t>591—17.4</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procedure prior to hearing. </w:t>
      </w:r>
      <w:r>
        <w:rPr>
          <w:rFonts w:ascii="Times New Roman" w:hAnsi="Times New Roman"/>
          <w:b w:val="false"/>
          <w:i w:val="false"/>
          <w:color w:val="000000"/>
          <w:sz w:val="22"/>
        </w:rPr>
        <w:t>Any party may pursue an informal settlement of any contested case by meeting with the administrator or the administrator’s designee for that purpose. The request shall be made in writing and shall be delivered to the administrator with a copy to the UST board and presiding officer, if any. Upon receipt of the request, all formal contested case procedures and proceedings are stayed. If informal settlement procedures are unsuccessful, formal contested procedures may be initiated as provided herein or the stay may be lifted if formal proceedings have already begun.</w:t>
      </w:r>
    </w:p>
    <w:p>
      <w:pPr>
        <w:spacing w:before="0" w:after="0"/>
        <w:ind w:left="120"/>
        <w:jc w:val="both"/>
      </w:pPr>
      <w:r>
        <w:rPr>
          <w:rFonts w:ascii="Times New Roman" w:hAnsi="Times New Roman"/>
          <w:b/>
          <w:i w:val="false"/>
          <w:color w:val="000000"/>
          <w:sz w:val="22"/>
        </w:rPr>
        <w:t>591—17.5</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14">
        <w:r>
          <w:rPr>
            <w:rStyle w:val="Hyperlink"/>
            <w:rFonts w:ascii="Times New Roman" w:hAnsi="Times New Roman"/>
            <w:b w:val="false"/>
            <w:i w:val="false"/>
            <w:color w:val="000000"/>
            <w:sz w:val="22"/>
          </w:rPr>
          <w:t>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rules of the board. Except for good cause stated in the record, before extending or shortening the time to take any action, the presiding officer shall afford all parties an opportunity to be heard or to file written arguments.</w:t>
      </w:r>
    </w:p>
    <w:p>
      <w:pPr>
        <w:spacing w:before="210" w:after="0"/>
        <w:ind w:left="120"/>
        <w:jc w:val="both"/>
      </w:pPr>
      <w:r>
        <w:rPr>
          <w:rFonts w:ascii="Times New Roman" w:hAnsi="Times New Roman"/>
          <w:b/>
          <w:i w:val="false"/>
          <w:color w:val="000000"/>
          <w:sz w:val="22"/>
        </w:rPr>
        <w:t>591—17.6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Upon receipt of a notice of appeal, the administrator shall notify the department of insurance for assignment of an administrative law judge, or, if not available, the department of inspections and appeals for an assignment of an administrative law judge. The administrative law judge assigned shall be the presiding officer for purposes of hearing the appeal. Expenses generated shall be shared equally by the parties.</w:t>
      </w:r>
    </w:p>
    <w:p>
      <w:pPr>
        <w:spacing w:before="0" w:after="0"/>
        <w:ind w:left="120"/>
        <w:jc w:val="both"/>
      </w:pPr>
      <w:r>
        <w:rPr>
          <w:rFonts w:ascii="Times New Roman" w:hAnsi="Times New Roman"/>
          <w:b/>
          <w:i w:val="false"/>
          <w:color w:val="000000"/>
          <w:sz w:val="22"/>
        </w:rPr>
        <w:t>591—17.7</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appeal. </w:t>
      </w:r>
      <w:r>
        <w:rPr>
          <w:rFonts w:ascii="Times New Roman" w:hAnsi="Times New Roman"/>
          <w:b w:val="false"/>
          <w:i w:val="false"/>
          <w:color w:val="000000"/>
          <w:sz w:val="22"/>
        </w:rPr>
        <w:t>Any person appealing a decision of the administrator and claiming an entitlement to a contested case proceeding shall file a written notice of appeal within 30 days of receipt of the decision of the administrator.</w:t>
      </w:r>
    </w:p>
    <w:p>
      <w:pPr>
        <w:spacing w:before="0" w:after="0"/>
        <w:ind w:left="120"/>
        <w:jc w:val="both"/>
      </w:pPr>
      <w:r>
        <w:rPr>
          <w:rFonts w:ascii="Times New Roman" w:hAnsi="Times New Roman"/>
          <w:b w:val="false"/>
          <w:i w:val="false"/>
          <w:color w:val="000000"/>
          <w:sz w:val="22"/>
        </w:rPr>
        <w:t>The notice of appeal should be directed to the administrator and should state the name and address of the appellant, identify the specific portion or portions of the action of the administrator that are being appealed, and include a short and plain statement of the reasons the specific action is being appealed.</w:t>
      </w:r>
    </w:p>
    <w:p>
      <w:pPr>
        <w:spacing w:before="210" w:after="0"/>
        <w:ind w:left="120"/>
        <w:jc w:val="both"/>
      </w:pPr>
      <w:r>
        <w:rPr>
          <w:rFonts w:ascii="Times New Roman" w:hAnsi="Times New Roman"/>
          <w:b/>
          <w:i w:val="false"/>
          <w:color w:val="000000"/>
          <w:sz w:val="22"/>
        </w:rPr>
        <w:t>591—17.8</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cases. </w:t>
      </w:r>
      <w:r>
        <w:rPr>
          <w:rFonts w:ascii="Times New Roman" w:hAnsi="Times New Roman"/>
          <w:b w:val="false"/>
          <w:i w:val="false"/>
          <w:color w:val="000000"/>
          <w:sz w:val="22"/>
        </w:rPr>
        <w:t>Within 15 days of when the administrator receives a notice of appeal, the administrator will file the notice of appeal with the presiding officer and notify all affected parties of the filing of the notice of appeal with the presiding officer. When the presiding officer receives a notice of appeal from the administrator, the presiding officer will prepare a notice of hearing and deliver it to all parties to the contested case proceeding. A contested case commences when a notice of hearing is delivered to the parties.</w:t>
      </w:r>
    </w:p>
    <w:p>
      <w:pPr>
        <w:spacing w:before="0" w:after="0"/>
        <w:ind w:left="120"/>
        <w:jc w:val="both"/>
      </w:pPr>
      <w:r>
        <w:rPr>
          <w:rFonts w:ascii="Times New Roman" w:hAnsi="Times New Roman"/>
          <w:b/>
          <w:i w:val="false"/>
          <w:color w:val="000000"/>
          <w:sz w:val="22"/>
        </w:rPr>
        <w:t>591—17.9</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 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method agreed to in writing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 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 The hearing shall be held within 180 days of the filing of the petition, unless good cause is shown for a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presiding officer is unable to state the matters in detail at the time the notice is served, the initial notice may be limited to a statement of the issues involved. Thereafter, the presiding officer may require the parties to furnish a more definite and detailed statement through required pleadings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UST board, the administrator,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procedural rules governing informal settlement.</w:t>
      </w:r>
    </w:p>
    <w:p>
      <w:pPr>
        <w:spacing w:before="210" w:after="0"/>
        <w:ind w:left="120"/>
        <w:jc w:val="both"/>
      </w:pPr>
      <w:r>
        <w:rPr>
          <w:rFonts w:ascii="Times New Roman" w:hAnsi="Times New Roman"/>
          <w:b/>
          <w:i w:val="false"/>
          <w:color w:val="000000"/>
          <w:sz w:val="22"/>
        </w:rPr>
        <w:t>591—17.10</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upon order of the presiding officer.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591—17.11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591—17.12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val="false"/>
          <w:color w:val="000000"/>
          <w:sz w:val="22"/>
        </w:rPr>
        <w:t>Answer. An answer to a petition shall be filed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591—17.13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board, simultaneously with their filing. Except for the original notice of hearing and an application for rehearing as provided in Iowa Code subsection </w:t>
      </w:r>
      <w:hyperlink r:id="rId1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presiding officer, delivered to an established courier service for immediate delivery to the presiding officer, or mailed by first-class mail or state interoffice mail to the presiding officer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&amp;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591—17.14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 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6">
        <w:r>
          <w:rPr>
            <w:rStyle w:val="Hyperlink"/>
            <w:rFonts w:ascii="Times New Roman" w:hAnsi="Times New Roman"/>
            <w:b w:val="false"/>
            <w:i w:val="false"/>
            <w:color w:val="000000"/>
            <w:sz w:val="22"/>
          </w:rPr>
          <w:t>17.14(1)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591—17.15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UST board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591—17.16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 Any motion for summary judgment shall comply with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14 days after the motion is served, unless the time period is extended or shortened by rules of the UST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i w:val="false"/>
          <w:color w:val="000000"/>
          <w:sz w:val="22"/>
        </w:rPr>
        <w:t>591—17.17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ten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17">
        <w:r>
          <w:rPr>
            <w:rStyle w:val="Hyperlink"/>
            <w:rFonts w:ascii="Times New Roman" w:hAnsi="Times New Roman"/>
            <w:b w:val="false"/>
            <w:i w:val="false"/>
            <w:color w:val="000000"/>
            <w:sz w:val="22"/>
          </w:rPr>
          <w:t>17.15(2)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 Parties shall exchange and receive witness and exhibit lists in advance of a prehearing conference.</w:t>
      </w:r>
    </w:p>
    <w:p>
      <w:pPr>
        <w:spacing w:before="0" w:after="0"/>
        <w:ind w:left="120"/>
        <w:jc w:val="both"/>
      </w:pPr>
      <w:r>
        <w:rPr>
          <w:rFonts w:ascii="Times New Roman" w:hAnsi="Times New Roman"/>
          <w:b/>
          <w:i w:val="false"/>
          <w:color w:val="000000"/>
          <w:sz w:val="22"/>
        </w:rPr>
        <w:t>591—17.18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UST board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591—17.19</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upon the approval of the board or the presiding officer. Unless otherwise provided, a withdrawal shall be with prejudice.</w:t>
      </w:r>
    </w:p>
    <w:p>
      <w:pPr>
        <w:spacing w:before="0" w:after="0"/>
        <w:ind w:left="120"/>
        <w:jc w:val="both"/>
      </w:pPr>
      <w:r>
        <w:rPr>
          <w:rFonts w:ascii="Times New Roman" w:hAnsi="Times New Roman"/>
          <w:b/>
          <w:i w:val="false"/>
          <w:color w:val="000000"/>
          <w:sz w:val="22"/>
        </w:rPr>
        <w:t>591—17.20</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17.20(1)</w:t>
      </w:r>
      <w:r>
        <w:rPr>
          <w:rFonts w:ascii="Times New Roman" w:hAnsi="Times New Roman"/>
          <w:b w:val="false"/>
          <w:i w:val="false"/>
          <w:color w:val="000000"/>
          <w:sz w:val="22"/>
        </w:rPr>
        <w:t> </w:t>
      </w:r>
      <w:r>
        <w:rPr>
          <w:rFonts w:ascii="Times New Roman" w:hAnsi="Times New Roman"/>
          <w:b w:val="false"/>
          <w:i/>
          <w:color w:val="000000"/>
          <w:sz w:val="22"/>
        </w:rPr>
        <w:t xml:space="preserve"> 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17.20(2)</w:t>
      </w:r>
      <w:r>
        <w:rPr>
          <w:rFonts w:ascii="Times New Roman" w:hAnsi="Times New Roman"/>
          <w:b w:val="false"/>
          <w:i w:val="false"/>
          <w:color w:val="000000"/>
          <w:sz w:val="22"/>
        </w:rPr>
        <w:t> </w:t>
      </w:r>
      <w:r>
        <w:rPr>
          <w:rFonts w:ascii="Times New Roman" w:hAnsi="Times New Roman"/>
          <w:b w:val="false"/>
          <w:i/>
          <w:color w:val="000000"/>
          <w:sz w:val="22"/>
        </w:rPr>
        <w:t xml:space="preserve"> 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591—17.21</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591—17.22</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fairness and the public interest determine otherwise. The presiding officer may admit evidence on issues outside the scope of the notice over the objection of a party who did not have actual notice. Upon timely request that party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591—17.23</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presiding officer may, if no adjournment is granted,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i w:val="false"/>
          <w:color w:val="000000"/>
          <w:sz w:val="22"/>
        </w:rPr>
        <w:t>591—17.24</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Following issuance of the notice of hearing, there shall be no communication, directly or indirectly, between any party or representative of any party in connection with any issue of fact or law in a case and any person assigned to render a proposed or final decision or to make findings of fact or conclusions of law except upon notice and opportunity for all parties to participate. This does not prohibit persons jointly assigned such tasks from communicating with each other. Nothing in this provision is intended to preclude persons assigned to render a proposed or final decision in a contested case or to make findings of fact or conclusions of law in such a case from seeking the advice or help of persons other than those with a personal interest in, or those engaged in personally investigating, prosecuting, or advocating in, either the case under consideration or a pending factually related case involving the same parties as long as that advice or help does not violate Iowa Code section </w:t>
      </w:r>
      <w:hyperlink r:id="rId18">
        <w:r>
          <w:rPr>
            <w:rStyle w:val="Hyperlink"/>
            <w:rFonts w:ascii="Times New Roman" w:hAnsi="Times New Roman"/>
            <w:b w:val="false"/>
            <w:i w:val="false"/>
            <w:color w:val="000000"/>
            <w:sz w:val="22"/>
          </w:rPr>
          <w:t>17A.12(8)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17.24(2)</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prohibited communications. Any person who receives a communication prohibited by subrule </w:t>
      </w:r>
      <w:hyperlink r:id="rId19">
        <w:r>
          <w:rPr>
            <w:rStyle w:val="Hyperlink"/>
            <w:rFonts w:ascii="Times New Roman" w:hAnsi="Times New Roman"/>
            <w:b w:val="false"/>
            <w:i w:val="false"/>
            <w:color w:val="000000"/>
            <w:sz w:val="22"/>
          </w:rPr>
          <w:t>17.24(1)</w:t>
        </w:r>
      </w:hyperlink>
      <w:r>
        <w:rPr>
          <w:rFonts w:ascii="Times New Roman" w:hAnsi="Times New Roman"/>
          <w:b w:val="false"/>
          <w:i w:val="false"/>
          <w:color w:val="000000"/>
          <w:sz w:val="22"/>
        </w:rPr>
        <w:t xml:space="preserve"> shall disclose that communication to all parties. A copy of any prohibited written communication or a summary of any prohibited oral communication shall be submitted for inclusion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the agency may impose appropriate sanctions for violations of this rule. Possible sanctions include a decision against the offending party; censure, suspension, or revocation of the privilege to practice before the agency; and censure, suspension, dismissal, or other disciplinary action against agency personnel.</w:t>
      </w:r>
    </w:p>
    <w:p>
      <w:pPr>
        <w:spacing w:before="0" w:after="0"/>
        <w:ind w:left="120"/>
        <w:jc w:val="both"/>
      </w:pPr>
      <w:r>
        <w:rPr>
          <w:rFonts w:ascii="Times New Roman" w:hAnsi="Times New Roman"/>
          <w:b/>
          <w:i w:val="false"/>
          <w:color w:val="000000"/>
          <w:sz w:val="22"/>
        </w:rPr>
        <w:t>591—17.25</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591—17.26</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UST board may review an interlocutory order of the presiding officer. In determining whether to do so, the UST board shall weigh the extent to which its granting the interlocutory appeal would expedite final resolution of the case and the extent to which review of that interlocutory order by the UST board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210" w:after="0"/>
        <w:ind w:left="120"/>
        <w:jc w:val="both"/>
      </w:pPr>
      <w:r>
        <w:rPr>
          <w:rFonts w:ascii="Times New Roman" w:hAnsi="Times New Roman"/>
          <w:b/>
          <w:i w:val="false"/>
          <w:color w:val="000000"/>
          <w:sz w:val="22"/>
        </w:rPr>
        <w:t>591—17.27</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decision—administrative law judge. </w:t>
      </w:r>
      <w:r>
        <w:rPr>
          <w:rFonts w:ascii="Times New Roman" w:hAnsi="Times New Roman"/>
          <w:b w:val="false"/>
          <w:i w:val="false"/>
          <w:color w:val="000000"/>
          <w:sz w:val="22"/>
        </w:rPr>
        <w:t>The ruling of an administrative law judge in a contested case proceeding is a proposed decision which will become the final decision of the UST board unless there is an appeal. Any appeal of a presiding officer’s proposed decision shall be made to the UST board. A proposed decision shall be issued by the administrative law judge within 120 days following the close of the hearing.</w:t>
      </w:r>
    </w:p>
    <w:p>
      <w:pPr>
        <w:spacing w:before="0" w:after="0"/>
        <w:ind w:left="120"/>
        <w:jc w:val="both"/>
      </w:pPr>
      <w:r>
        <w:rPr>
          <w:rFonts w:ascii="Times New Roman" w:hAnsi="Times New Roman"/>
          <w:b/>
          <w:i w:val="false"/>
          <w:color w:val="000000"/>
          <w:sz w:val="22"/>
        </w:rPr>
        <w:t>591—17.28</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of proposed decision of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of a presiding officer to the UST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UST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UST board. The notice of appeal must be signed by the appealing party or a representative of that party and contain a certificate of service.</w:t>
      </w:r>
    </w:p>
    <w:p>
      <w:pPr>
        <w:spacing w:before="0" w:after="0"/>
        <w:ind w:left="120"/>
        <w:jc w:val="both"/>
      </w:pPr>
      <w:r>
        <w:rPr>
          <w:rFonts w:ascii="Times New Roman" w:hAnsi="Times New Roman"/>
          <w:b w:val="false"/>
          <w:i w:val="false"/>
          <w:color w:val="000000"/>
          <w:sz w:val="22"/>
        </w:rPr>
        <w:t>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30 days of service of the notice of appeal. The UST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UST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17.28(6)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30 days of the notice of appeal, each appealing party may file exceptions and briefs. Within 30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UST board may resolve the appeal on the briefs or provide an opportunity for oral argument. The UST board may shorten or extend the briefing period as appropriate.</w:t>
      </w:r>
    </w:p>
    <w:p>
      <w:pPr>
        <w:spacing w:before="0" w:after="0"/>
        <w:ind w:left="120"/>
        <w:jc w:val="both"/>
      </w:pPr>
      <w:r>
        <w:rPr>
          <w:rFonts w:ascii="Times New Roman" w:hAnsi="Times New Roman"/>
          <w:b/>
          <w:i w:val="false"/>
          <w:color w:val="000000"/>
          <w:sz w:val="22"/>
        </w:rPr>
        <w:t>591—17.29</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UST board decision on the existing record and whether, subject to </w:t>
      </w:r>
      <w:hyperlink r:id="rId20">
        <w:r>
          <w:rPr>
            <w:rStyle w:val="Hyperlink"/>
            <w:rFonts w:ascii="Times New Roman" w:hAnsi="Times New Roman"/>
            <w:b w:val="false"/>
            <w:i w:val="false"/>
            <w:color w:val="000000"/>
            <w:sz w:val="22"/>
          </w:rPr>
          <w:t>17.28(4)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UST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UST board grants the application within 20 days after its filing.</w:t>
      </w:r>
    </w:p>
    <w:p>
      <w:pPr>
        <w:spacing w:before="0" w:after="0"/>
        <w:ind w:left="120"/>
        <w:jc w:val="both"/>
      </w:pPr>
      <w:r>
        <w:rPr>
          <w:rFonts w:ascii="Times New Roman" w:hAnsi="Times New Roman"/>
          <w:b/>
          <w:i w:val="false"/>
          <w:color w:val="000000"/>
          <w:sz w:val="22"/>
        </w:rPr>
        <w:t>591—17.30</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UST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UST board for a stay of an order issued in that proceeding, pending review by the agency. The petition for a stay shall be filed with the notice of appeal and shall state the reasons justifying a stay. The UST board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UST board for a stay, pending judicial review, of all or part of that proceeding. The petition for a stay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presiding officer or UST board, as appropriate, shall consider whether substantial questions exist as to the propriety of the order for which a stay is requested, whether the party will suffer substantial and irreparable injury without the stay, and whether, and the extent to which, the interests of the public and other persons will be adversely affected by such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UST board or any other party.</w:t>
      </w:r>
    </w:p>
    <w:p>
      <w:pPr>
        <w:spacing w:before="210" w:after="0"/>
        <w:ind w:left="120"/>
        <w:jc w:val="both"/>
      </w:pPr>
      <w:r>
        <w:rPr>
          <w:rFonts w:ascii="Times New Roman" w:hAnsi="Times New Roman"/>
          <w:b/>
          <w:i w:val="false"/>
          <w:color w:val="000000"/>
          <w:sz w:val="22"/>
        </w:rPr>
        <w:t>591—17.31</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UST board action—appeal. </w:t>
      </w:r>
      <w:r>
        <w:rPr>
          <w:rFonts w:ascii="Times New Roman" w:hAnsi="Times New Roman"/>
          <w:b w:val="false"/>
          <w:i w:val="false"/>
          <w:color w:val="000000"/>
          <w:sz w:val="22"/>
        </w:rPr>
        <w:t xml:space="preserve">UST board decisions in contested case proceedings are final agency action for purposes of appeal. Final UST board decisions will be in writing and outline the basis of the decision in the contested case proceeding. The administrator will write the final decision as instructed by the UST board. The UST board decision shall be final unless appealed pursuant to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591—17.32</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 suspension or revocation or other disciplinary proceedings of installers and inspectors of underground storage 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Except as provided in </w:t>
      </w:r>
      <w:hyperlink r:id="rId22">
        <w:r>
          <w:rPr>
            <w:rStyle w:val="Hyperlink"/>
            <w:rFonts w:ascii="Times New Roman" w:hAnsi="Times New Roman"/>
            <w:b w:val="false"/>
            <w:i w:val="false"/>
            <w:color w:val="000000"/>
            <w:sz w:val="22"/>
          </w:rPr>
          <w:t>17.32(6)</w:t>
        </w:r>
      </w:hyperlink>
      <w:r>
        <w:rPr>
          <w:rFonts w:ascii="Times New Roman" w:hAnsi="Times New Roman"/>
          <w:b w:val="false"/>
          <w:i w:val="false"/>
          <w:color w:val="000000"/>
          <w:sz w:val="22"/>
        </w:rPr>
        <w:t>, prior to the suspension or revocation of a license, the administrator shall give Notice of Intended Action and an opportunity to be heard at an evidentiary hearing conducted according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shall inform the licensee of the administrator’s intent to suspend or revoke the license or otherwise discipline the licensee and shall include facts or conduct which warrant the intended action, a statement of the legal authority and jurisdiction under which the hearing is to be held, and a statement that the licensee may show at a hearing that the licensee meets all lawful requirements to retain the license or otherwise not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17.32(3)</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Delivery of notice in license proceedings may be by personal service or by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17.32(4)</w:t>
      </w:r>
      <w:r>
        <w:rPr>
          <w:rFonts w:ascii="Times New Roman" w:hAnsi="Times New Roman"/>
          <w:b w:val="false"/>
          <w:i w:val="false"/>
          <w:color w:val="000000"/>
          <w:sz w:val="22"/>
        </w:rPr>
        <w:t> </w:t>
      </w:r>
      <w:r>
        <w:rPr>
          <w:rFonts w:ascii="Times New Roman" w:hAnsi="Times New Roman"/>
          <w:b w:val="false"/>
          <w:i/>
          <w:color w:val="000000"/>
          <w:sz w:val="22"/>
        </w:rPr>
        <w:t xml:space="preserve">Requested hearings. </w:t>
      </w:r>
      <w:r>
        <w:rPr>
          <w:rFonts w:ascii="Times New Roman" w:hAnsi="Times New Roman"/>
          <w:b w:val="false"/>
          <w:i w:val="false"/>
          <w:color w:val="000000"/>
          <w:sz w:val="22"/>
        </w:rPr>
        <w:t xml:space="preserve">In the case of revocation or suspension of licenses, the administrator shall give notice as required in </w:t>
      </w:r>
      <w:hyperlink r:id="rId23">
        <w:r>
          <w:rPr>
            <w:rStyle w:val="Hyperlink"/>
            <w:rFonts w:ascii="Times New Roman" w:hAnsi="Times New Roman"/>
            <w:b w:val="false"/>
            <w:i w:val="false"/>
            <w:color w:val="000000"/>
            <w:sz w:val="22"/>
          </w:rPr>
          <w:t>17.32(1)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17.32(2)</w:t>
        </w:r>
      </w:hyperlink>
      <w:r>
        <w:rPr>
          <w:rFonts w:ascii="Times New Roman" w:hAnsi="Times New Roman"/>
          <w:b w:val="false"/>
          <w:i w:val="false"/>
          <w:color w:val="000000"/>
          <w:sz w:val="22"/>
        </w:rPr>
        <w:t>, which shall include a statement that the person notified has the right to a hearing in accordance with this chapter and that the person entitled to a hearing may invoke the right within ten days of receipt of the notice. Upon receipt of the request for hearing, the presiding officer shall prepare a notice of hearing. Within ten days of receiving a notice of hearing, the administrator shall file a petition and the procedure shall follow that of this chapter.</w:t>
      </w:r>
    </w:p>
    <w:p>
      <w:pPr>
        <w:spacing w:before="0" w:after="0"/>
        <w:ind w:left="120"/>
        <w:jc w:val="both"/>
      </w:pPr>
      <w:r>
        <w:rPr>
          <w:rFonts w:ascii="Times New Roman" w:hAnsi="Times New Roman"/>
          <w:b w:val="false"/>
          <w:i w:val="false"/>
          <w:color w:val="000000"/>
          <w:sz w:val="22"/>
        </w:rPr>
        <w:t xml:space="preserve">Notwithstanding Iowa Code section </w:t>
      </w:r>
      <w:hyperlink r:id="rId2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obligor does not have the right to a hearing before the board to contest the board’s actions under Iowa Code chapter </w:t>
      </w:r>
      <w:hyperlink r:id="rId2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but may request a court hearing pursuant to Iowa Code section </w:t>
      </w:r>
      <w:hyperlink r:id="rId2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within 30 days of the provision of notice under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17.32(5)</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 xml:space="preserve">A license may be suspended without providing the licensee notice and opportunity to be heard if the UST board or its designee finds that the public health, safety, or welfare requires emergency action, and incorporates a finding to that effect in its order. The order shall be served in the same manner provided in </w:t>
      </w:r>
      <w:hyperlink r:id="rId28">
        <w:r>
          <w:rPr>
            <w:rStyle w:val="Hyperlink"/>
            <w:rFonts w:ascii="Times New Roman" w:hAnsi="Times New Roman"/>
            <w:b w:val="false"/>
            <w:i w:val="false"/>
            <w:color w:val="000000"/>
            <w:sz w:val="22"/>
          </w:rPr>
          <w:t>17.32(3)</w:t>
        </w:r>
      </w:hyperlink>
      <w:r>
        <w:rPr>
          <w:rFonts w:ascii="Times New Roman" w:hAnsi="Times New Roman"/>
          <w:b w:val="false"/>
          <w:i w:val="false"/>
          <w:color w:val="000000"/>
          <w:sz w:val="22"/>
        </w:rPr>
        <w:t>. If a license is summarily suspended in accordance with this paragraph, the administrator shall promptly thereafter give notice and an opportunity to be heard and determine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a license suspension or revocation pursuant to this rule, except an emergency suspension pursuant to </w:t>
      </w:r>
      <w:hyperlink r:id="rId29">
        <w:r>
          <w:rPr>
            <w:rStyle w:val="Hyperlink"/>
            <w:rFonts w:ascii="Times New Roman" w:hAnsi="Times New Roman"/>
            <w:b w:val="false"/>
            <w:i w:val="false"/>
            <w:color w:val="000000"/>
            <w:sz w:val="22"/>
          </w:rPr>
          <w:t>17.32(5)</w:t>
        </w:r>
      </w:hyperlink>
      <w:r>
        <w:rPr>
          <w:rFonts w:ascii="Times New Roman" w:hAnsi="Times New Roman"/>
          <w:b w:val="false"/>
          <w:i w:val="false"/>
          <w:color w:val="000000"/>
          <w:sz w:val="22"/>
        </w:rPr>
        <w:t>, the suspension or revocation shall be effective upon failure of the permittee to request a hearing within the time required in 17.32(5) or upon the issuance of an order suspending or revoking the license after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a license suspension pursuant to </w:t>
      </w:r>
      <w:hyperlink r:id="rId30">
        <w:r>
          <w:rPr>
            <w:rStyle w:val="Hyperlink"/>
            <w:rFonts w:ascii="Times New Roman" w:hAnsi="Times New Roman"/>
            <w:b w:val="false"/>
            <w:i w:val="false"/>
            <w:color w:val="000000"/>
            <w:sz w:val="22"/>
          </w:rPr>
          <w:t>17.32(5)</w:t>
        </w:r>
      </w:hyperlink>
      <w:r>
        <w:rPr>
          <w:rFonts w:ascii="Times New Roman" w:hAnsi="Times New Roman"/>
          <w:b w:val="false"/>
          <w:i w:val="false"/>
          <w:color w:val="000000"/>
          <w:sz w:val="22"/>
        </w:rPr>
        <w:t>, the suspension is effective upon service of the order and shall remain effective until rescinded by the UST board or its designee or until the suspension is terminated by order after hearing.</w:t>
      </w:r>
    </w:p>
    <w:p>
      <w:pPr>
        <w:spacing w:before="0" w:after="0"/>
        <w:ind w:left="120"/>
        <w:jc w:val="both"/>
      </w:pPr>
      <w:r>
        <w:rPr>
          <w:rFonts w:ascii="Times New Roman" w:hAnsi="Times New Roman"/>
          <w:b/>
          <w:i w:val="false"/>
          <w:color w:val="000000"/>
          <w:sz w:val="22"/>
        </w:rPr>
        <w:t>591—17.33</w:t>
      </w:r>
      <w:r>
        <w:rPr>
          <w:rFonts w:ascii="Times New Roman" w:hAnsi="Times New Roman"/>
          <w:b/>
          <w:i w:val="false"/>
          <w:color w:val="000000"/>
          <w:sz w:val="22"/>
        </w:rPr>
        <w:t xml:space="preserve">(17A,455G) </w:t>
      </w:r>
      <w:r>
        <w:rPr>
          <w:rFonts w:ascii="Times New Roman" w:hAnsi="Times New Roman"/>
          <w:b/>
          <w:i w:val="false"/>
          <w:color w:val="000000"/>
          <w:sz w:val="22"/>
        </w:rPr>
        <w:t xml:space="preserve">Use of legal assistants or paralegals. </w:t>
      </w:r>
      <w:r>
        <w:rPr>
          <w:rFonts w:ascii="Times New Roman" w:hAnsi="Times New Roman"/>
          <w:b w:val="false"/>
          <w:i w:val="false"/>
          <w:color w:val="000000"/>
          <w:sz w:val="22"/>
        </w:rPr>
        <w:t>The UST board and the administrator may be represented by legal assistants or paralegals at contested case hearings.</w:t>
      </w:r>
    </w:p>
    <w:p>
      <w:pPr>
        <w:spacing w:before="0" w:after="0"/>
        <w:ind w:left="120"/>
        <w:jc w:val="both"/>
      </w:pPr>
      <w:r>
        <w:rPr>
          <w:rFonts w:ascii="Times New Roman" w:hAnsi="Times New Roman"/>
          <w:b w:val="false"/>
          <w:i w:val="false"/>
          <w:color w:val="000000"/>
          <w:sz w:val="22"/>
        </w:rPr>
        <w:t>Legal assistants or paralegals representing the UST board and the administrator shall be under the supervision of the UST board’s counsel from the office of the attorney general.</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7/6/92—published 7/22/92, effective 7/6/92]</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emergency 12/2/94—published 12/21/94, effective 12/2/94]</w:t>
      </w:r>
    </w:p>
    <w:p>
      <w:pPr>
        <w:spacing w:before="0" w:after="0"/>
        <w:ind w:left="120"/>
        <w:jc w:val="center"/>
      </w:pPr>
      <w:r>
        <w:rPr>
          <w:rFonts w:ascii="Times New Roman" w:hAnsi="Times New Roman"/>
          <w:b w:val="false"/>
          <w:i w:val="false"/>
          <w:color w:val="000000"/>
          <w:sz w:val="21"/>
        </w:rPr>
        <w:t>[Filed 2/24/95, Notice 12/21/94—published 3/15/95, effective 4/19/95]</w:t>
      </w:r>
    </w:p>
    <w:p>
      <w:pPr>
        <w:spacing w:before="0" w:after="0"/>
        <w:ind w:left="120"/>
        <w:jc w:val="center"/>
      </w:pPr>
      <w:r>
        <w:rPr>
          <w:rFonts w:ascii="Times New Roman" w:hAnsi="Times New Roman"/>
          <w:b w:val="false"/>
          <w:i w:val="false"/>
          <w:color w:val="000000"/>
          <w:sz w:val="21"/>
        </w:rPr>
        <w:t>[Filed 5/15/96, Notice 1/17/96—published 6/5/96, effective 7/10/96]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55G.9.pdf" Type="http://schemas.openxmlformats.org/officeDocument/2006/relationships/hyperlink" Id="rId6"/>
    <Relationship TargetMode="External" Target="https://www.legis.iowa.gov/docs/ico/chapter/455G.10.pdf" Type="http://schemas.openxmlformats.org/officeDocument/2006/relationships/hyperlink" Id="rId7"/>
    <Relationship TargetMode="External" Target="https://www.legis.iowa.gov/docs/ico/chapter/455G.11.pdf" Type="http://schemas.openxmlformats.org/officeDocument/2006/relationships/hyperlink" Id="rId8"/>
    <Relationship TargetMode="External" Target="https://www.legis.iowa.gov/docs/ico/chapter/455G.12.pdf" Type="http://schemas.openxmlformats.org/officeDocument/2006/relationships/hyperlink" Id="rId9"/>
    <Relationship TargetMode="External" Target="https://www.legis.iowa.gov/docs/ico/chapter/455G.12A.pdf" Type="http://schemas.openxmlformats.org/officeDocument/2006/relationships/hyperlink" Id="rId10"/>
    <Relationship TargetMode="External" Target="https://www.legis.iowa.gov/docs/ico/chapter/455G.5.pdf" Type="http://schemas.openxmlformats.org/officeDocument/2006/relationships/hyperlink" Id="rId11"/>
    <Relationship TargetMode="External" Target="https://www.legis.iowa.gov/docs/ico/chapter/455G.pdf" Type="http://schemas.openxmlformats.org/officeDocument/2006/relationships/hyperlink" Id="rId12"/>
    <Relationship TargetMode="External" Target="https://www.legis.iowa.gov/docs/ico/chapter/17A.2.pdf" Type="http://schemas.openxmlformats.org/officeDocument/2006/relationships/hyperlink" Id="rId13"/>
    <Relationship TargetMode="External" Target="https://www.legis.iowa.gov/docs/ico/chapter/4.1.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591.17.14.pdf" Type="http://schemas.openxmlformats.org/officeDocument/2006/relationships/hyperlink" Id="rId16"/>
    <Relationship TargetMode="External" Target="https://www.legis.iowa.gov/docs/iac/rule/591.17.15.pdf" Type="http://schemas.openxmlformats.org/officeDocument/2006/relationships/hyperlink" Id="rId17"/>
    <Relationship TargetMode="External" Target="https://www.legis.iowa.gov/docs/ico/chapter/17A.12.pdf" Type="http://schemas.openxmlformats.org/officeDocument/2006/relationships/hyperlink" Id="rId18"/>
    <Relationship TargetMode="External" Target="https://www.legis.iowa.gov/docs/iac/rule/591.17.24.pdf" Type="http://schemas.openxmlformats.org/officeDocument/2006/relationships/hyperlink" Id="rId19"/>
    <Relationship TargetMode="External" Target="https://www.legis.iowa.gov/docs/iac/rule/591.17.28.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ac/rule/591.17.32.pdf" Type="http://schemas.openxmlformats.org/officeDocument/2006/relationships/hyperlink" Id="rId22"/>
    <Relationship TargetMode="External" Target="https://www.legis.iowa.gov/docs/iac/rule/591.17.32.pdf" Type="http://schemas.openxmlformats.org/officeDocument/2006/relationships/hyperlink" Id="rId23"/>
    <Relationship TargetMode="External" Target="https://www.legis.iowa.gov/docs/iac/rule/591.17.32.pdf" Type="http://schemas.openxmlformats.org/officeDocument/2006/relationships/hyperlink" Id="rId24"/>
    <Relationship TargetMode="External" Target="https://www.legis.iowa.gov/docs/ico/chapter/17A.18.pdf" Type="http://schemas.openxmlformats.org/officeDocument/2006/relationships/hyperlink" Id="rId25"/>
    <Relationship TargetMode="External" Target="https://www.legis.iowa.gov/docs/ico/chapter/252J.pdf" Type="http://schemas.openxmlformats.org/officeDocument/2006/relationships/hyperlink" Id="rId26"/>
    <Relationship TargetMode="External" Target="https://www.legis.iowa.gov/docs/ico/chapter/252J.9.pdf" Type="http://schemas.openxmlformats.org/officeDocument/2006/relationships/hyperlink" Id="rId27"/>
    <Relationship TargetMode="External" Target="https://www.legis.iowa.gov/docs/iac/rule/591.17.32.pdf" Type="http://schemas.openxmlformats.org/officeDocument/2006/relationships/hyperlink" Id="rId28"/>
    <Relationship TargetMode="External" Target="https://www.legis.iowa.gov/docs/iac/rule/591.17.32.pdf" Type="http://schemas.openxmlformats.org/officeDocument/2006/relationships/hyperlink" Id="rId29"/>
    <Relationship TargetMode="External" Target="https://www.legis.iowa.gov/docs/iac/rule/591.17.32.pdf" Type="http://schemas.openxmlformats.org/officeDocument/2006/relationships/hyperlink" Id="rId30"/>
    <Relationship TargetMode="External" Target="https://www.legis.iowa.gov/docs/ico/chapter/17A.12.pdf" Type="http://schemas.openxmlformats.org/officeDocument/2006/relationships/hyperlink" Id="rId31"/>
    <Relationship TargetMode="External" Target="https://www.legis.iowa.gov/docs/ico/chapter/455G.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