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WAIVERS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591—16.1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The term “waiver” as used in this chapter means a described waiver from a specific rule or set of rules of this board applicable only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5827C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591—16.2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creates standards and a process for granting individual waivers from rules adopted by the board in situations where no other more specifically applicable law provides for waivers. To the extent another more specific provision of law purports to govern the issuance of a waiver from a particular rule, the more specific waiver provision shall supersede this chapter with respect to any waiver from that rule.</w:t>
      </w:r>
    </w:p>
    <w:p>
      <w:pPr>
        <w:spacing w:before="210" w:after="0"/>
        <w:ind w:left="120"/>
        <w:jc w:val="both"/>
      </w:pPr>
      <w:r>
        <w:rPr>
          <w:rFonts w:ascii="Times New Roman" w:hAnsi="Times New Roman"/>
          <w:b/>
          <w:i w:val="false"/>
          <w:color w:val="000000"/>
          <w:sz w:val="22"/>
        </w:rPr>
        <w:t>591—16.3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only to waivers of those board rules that are within the exclusive rule-making authority of the board.</w:t>
      </w:r>
    </w:p>
    <w:p>
      <w:pPr>
        <w:spacing w:before="210" w:after="0"/>
        <w:ind w:left="120"/>
        <w:jc w:val="both"/>
      </w:pPr>
      <w:r>
        <w:rPr>
          <w:rFonts w:ascii="Times New Roman" w:hAnsi="Times New Roman"/>
          <w:b/>
          <w:i w:val="false"/>
          <w:color w:val="000000"/>
          <w:sz w:val="22"/>
        </w:rPr>
        <w:t>591—16.4</w:t>
      </w:r>
      <w:r>
        <w:rPr>
          <w:rFonts w:ascii="Times New Roman" w:hAnsi="Times New Roman"/>
          <w:b/>
          <w:i w:val="false"/>
          <w:color w:val="000000"/>
          <w:sz w:val="22"/>
        </w:rPr>
        <w:t xml:space="preserve">(17A) </w:t>
      </w:r>
      <w:r>
        <w:rPr>
          <w:rFonts w:ascii="Times New Roman" w:hAnsi="Times New Roman"/>
          <w:b/>
          <w:i w:val="false"/>
          <w:color w:val="000000"/>
          <w:sz w:val="22"/>
        </w:rPr>
        <w:t xml:space="preserve">Compliance with law. </w:t>
      </w:r>
      <w:r>
        <w:rPr>
          <w:rFonts w:ascii="Times New Roman" w:hAnsi="Times New Roman"/>
          <w:b w:val="false"/>
          <w:i w:val="false"/>
          <w:color w:val="000000"/>
          <w:sz w:val="22"/>
        </w:rPr>
        <w:t>The board may not issue a waiver under this chapter unless the waiver is consistent with statute and other provisions of law. No waiver may be granted under this chapter from any mandatory requirement imposed by statute.</w:t>
      </w:r>
    </w:p>
    <w:p>
      <w:pPr>
        <w:spacing w:before="0" w:after="0"/>
        <w:ind w:left="120"/>
        <w:jc w:val="both"/>
      </w:pPr>
      <w:r>
        <w:rPr>
          <w:rFonts w:ascii="Times New Roman" w:hAnsi="Times New Roman"/>
          <w:b/>
          <w:i w:val="false"/>
          <w:color w:val="000000"/>
          <w:sz w:val="22"/>
        </w:rPr>
        <w:t>591—16.5</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a waiver. </w:t>
      </w:r>
      <w:r>
        <w:rPr>
          <w:rFonts w:ascii="Times New Roman" w:hAnsi="Times New Roman"/>
          <w:b w:val="false"/>
          <w:i w:val="false"/>
          <w:color w:val="000000"/>
          <w:sz w:val="22"/>
        </w:rPr>
        <w:t xml:space="preserve">The board may issue an order, in response to a completed petition, granting a waiver from a rule adopted by the board, in whole or in part, as applied to the circumstances of a specified person, if the board finds that the granting of such a waiver would not exceed the authority for granting waivers contained in Iowa Code section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that the waiver would not prejudice the substantial legal rights of any person, and either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to the person at issue does not advance, to any extent, any of the purposes for the rule or set of rules;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of the following criteria have been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application of the rule or set of rules to the person at issue would result in an undue hardship or injustice to that person;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waiver on the basis of the particular circumstances relative to the specified person would be consistent with the overall public interest;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waiver, if related to administrative deadlines, would not jeopardize the overall goals of the deadline as established.</w:t>
      </w:r>
    </w:p>
    <w:p>
      <w:pPr>
        <w:spacing w:before="0" w:after="0"/>
        <w:ind w:left="120"/>
        <w:jc w:val="both"/>
      </w:pPr>
      <w:r>
        <w:rPr>
          <w:rFonts w:ascii="Times New Roman" w:hAnsi="Times New Roman"/>
          <w:b w:val="false"/>
          <w:i w:val="false"/>
          <w:color w:val="000000"/>
          <w:sz w:val="22"/>
        </w:rPr>
        <w:t>In determining whether a waiver would be consistent with the public interest, the board shall consider whether, if a waiver is granted, the public health, safety, and welfare will be adequately protected by other means that will ensure a result that is substantially equivalent to full compliance with the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5827C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591—16.6</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discretion. </w:t>
      </w:r>
      <w:r>
        <w:rPr>
          <w:rFonts w:ascii="Times New Roman" w:hAnsi="Times New Roman"/>
          <w:b w:val="false"/>
          <w:i w:val="false"/>
          <w:color w:val="000000"/>
          <w:sz w:val="22"/>
        </w:rPr>
        <w:t>The final decision to grant or deny a waiver shall be vested in the board. This decision shall be made at the discretion of the board upon consideration of relevant facts.</w:t>
      </w:r>
    </w:p>
    <w:p>
      <w:pPr>
        <w:spacing w:before="210" w:after="0"/>
        <w:ind w:left="120"/>
        <w:jc w:val="both"/>
      </w:pPr>
      <w:r>
        <w:rPr>
          <w:rFonts w:ascii="Times New Roman" w:hAnsi="Times New Roman"/>
          <w:b/>
          <w:i w:val="false"/>
          <w:color w:val="000000"/>
          <w:sz w:val="22"/>
        </w:rPr>
        <w:t>591—16.7</w:t>
      </w:r>
      <w:r>
        <w:rPr>
          <w:rFonts w:ascii="Times New Roman" w:hAnsi="Times New Roman"/>
          <w:b/>
          <w:i w:val="false"/>
          <w:color w:val="000000"/>
          <w:sz w:val="22"/>
        </w:rPr>
        <w:t xml:space="preserve">(17A) </w:t>
      </w:r>
      <w:r>
        <w:rPr>
          <w:rFonts w:ascii="Times New Roman" w:hAnsi="Times New Roman"/>
          <w:b/>
          <w:i w:val="false"/>
          <w:color w:val="000000"/>
          <w:sz w:val="22"/>
        </w:rPr>
        <w:t xml:space="preserve">Burden of persuasion. </w:t>
      </w:r>
      <w:r>
        <w:rPr>
          <w:rFonts w:ascii="Times New Roman" w:hAnsi="Times New Roman"/>
          <w:b w:val="false"/>
          <w:i w:val="false"/>
          <w:color w:val="000000"/>
          <w:sz w:val="22"/>
        </w:rPr>
        <w:t>The burden of persuasion shall be on the petitioner to demonstrate by clear and convincing evidence that the board should exercise its discretion to grant the petitioner a waiver based upon the criteria contained in this chapter.</w:t>
      </w:r>
    </w:p>
    <w:p>
      <w:pPr>
        <w:spacing w:before="0" w:after="0"/>
        <w:ind w:left="120"/>
        <w:jc w:val="both"/>
      </w:pPr>
      <w:r>
        <w:rPr>
          <w:rFonts w:ascii="Times New Roman" w:hAnsi="Times New Roman"/>
          <w:b/>
          <w:i w:val="false"/>
          <w:color w:val="000000"/>
          <w:sz w:val="22"/>
        </w:rPr>
        <w:t>591—16.8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petition. </w:t>
      </w:r>
      <w:r>
        <w:rPr>
          <w:rFonts w:ascii="Times New Roman" w:hAnsi="Times New Roman"/>
          <w:b w:val="false"/>
          <w:i w:val="false"/>
          <w:color w:val="000000"/>
          <w:sz w:val="22"/>
        </w:rPr>
        <w:t>A petition for a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To the extent applicable, the petition should also include the site registration number(s) and LUST number(s)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or set of rules from which a waiver is being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a description of the precise scope and operative period for which the petitioner wants the waiver to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represented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petitioner and the board relating to the activity affected by the proposed waiver, including any notices of violation,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relating to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of the waiver request to furnish the board with information relevant to the waiver.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If there is a contested case concerning the person, site or matter for which the petition for waiver is being made, such petition must include a signed statement consenting to ex parte communications between the board and its counsel concerning the facts and issues of the petition. If there is a contested case filed subsequent to this petition for waiver, such a statement must be provided at that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5827C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591—16.9</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a representative from the board to discuss the petition and surrounding circumstances.</w:t>
      </w:r>
    </w:p>
    <w:p>
      <w:pPr>
        <w:spacing w:before="210" w:after="0"/>
        <w:ind w:left="120"/>
        <w:jc w:val="both"/>
      </w:pPr>
      <w:r>
        <w:rPr>
          <w:rFonts w:ascii="Times New Roman" w:hAnsi="Times New Roman"/>
          <w:b/>
          <w:i w:val="false"/>
          <w:color w:val="000000"/>
          <w:sz w:val="22"/>
        </w:rPr>
        <w:t>591—16.10</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the petition upon receipt. The petitioner shall ensure that notice of the pendency of the petition, and a concise summary of its contents, have been provided to all persons to whom notice is required by any provision of law, within 30 days of the receipt of the petition. The petitioner shall provide to the board a written statement attesting to the fact that proper notice has been provided and to whom that notice has been provided. In addition, the board may give notice to other persons.</w:t>
      </w:r>
    </w:p>
    <w:p>
      <w:pPr>
        <w:spacing w:before="210" w:after="0"/>
        <w:ind w:left="120"/>
        <w:jc w:val="both"/>
      </w:pPr>
      <w:r>
        <w:rPr>
          <w:rFonts w:ascii="Times New Roman" w:hAnsi="Times New Roman"/>
          <w:b/>
          <w:i w:val="false"/>
          <w:color w:val="000000"/>
          <w:sz w:val="22"/>
        </w:rPr>
        <w:t>591—16.11</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6">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of a rule or set of rules filed within a contested case, and shall otherwise apply to board proceedings for a waiver only when the board so provides by rule or order, or is required to do so by statute or other binding law.</w:t>
      </w:r>
    </w:p>
    <w:p>
      <w:pPr>
        <w:spacing w:before="210" w:after="0"/>
        <w:ind w:left="120"/>
        <w:jc w:val="both"/>
      </w:pPr>
      <w:r>
        <w:rPr>
          <w:rFonts w:ascii="Times New Roman" w:hAnsi="Times New Roman"/>
          <w:b/>
          <w:i w:val="false"/>
          <w:color w:val="000000"/>
          <w:sz w:val="22"/>
        </w:rPr>
        <w:t>591—16.12</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time period of a waiver if one is issued.</w:t>
      </w:r>
    </w:p>
    <w:p>
      <w:pPr>
        <w:spacing w:before="210" w:after="0"/>
        <w:ind w:left="120"/>
        <w:jc w:val="both"/>
      </w:pPr>
      <w:r>
        <w:rPr>
          <w:rFonts w:ascii="Times New Roman" w:hAnsi="Times New Roman"/>
          <w:b/>
          <w:i w:val="false"/>
          <w:color w:val="000000"/>
          <w:sz w:val="22"/>
        </w:rPr>
        <w:t>591—16.13</w:t>
      </w:r>
      <w:r>
        <w:rPr>
          <w:rFonts w:ascii="Times New Roman" w:hAnsi="Times New Roman"/>
          <w:b/>
          <w:i w:val="false"/>
          <w:color w:val="000000"/>
          <w:sz w:val="22"/>
        </w:rPr>
        <w:t xml:space="preserve">(17A) </w:t>
      </w:r>
      <w:r>
        <w:rPr>
          <w:rFonts w:ascii="Times New Roman" w:hAnsi="Times New Roman"/>
          <w:b/>
          <w:i w:val="false"/>
          <w:color w:val="000000"/>
          <w:sz w:val="22"/>
        </w:rPr>
        <w:t xml:space="preserve">Conditions. </w:t>
      </w:r>
      <w:r>
        <w:rPr>
          <w:rFonts w:ascii="Times New Roman" w:hAnsi="Times New Roman"/>
          <w:b w:val="false"/>
          <w:i w:val="false"/>
          <w:color w:val="000000"/>
          <w:sz w:val="22"/>
        </w:rPr>
        <w:t>The board may condition the granting of the waiver on such conditions that the board deems to be reasonable and appropriate in order to achieve the objectives of the particular rule in question through alternative means.</w:t>
      </w:r>
    </w:p>
    <w:p>
      <w:pPr>
        <w:spacing w:before="210" w:after="0"/>
        <w:ind w:left="120"/>
        <w:jc w:val="both"/>
      </w:pPr>
      <w:r>
        <w:rPr>
          <w:rFonts w:ascii="Times New Roman" w:hAnsi="Times New Roman"/>
          <w:b/>
          <w:i w:val="false"/>
          <w:color w:val="000000"/>
          <w:sz w:val="22"/>
        </w:rPr>
        <w:t>591—16.14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then the board may grant or deny the petition at the time the final decision in that contested case is issued.</w:t>
      </w:r>
    </w:p>
    <w:p>
      <w:pPr>
        <w:spacing w:before="210" w:after="0"/>
        <w:ind w:left="120"/>
        <w:jc w:val="both"/>
      </w:pPr>
      <w:r>
        <w:rPr>
          <w:rFonts w:ascii="Times New Roman" w:hAnsi="Times New Roman"/>
          <w:b/>
          <w:i w:val="false"/>
          <w:color w:val="000000"/>
          <w:sz w:val="22"/>
        </w:rPr>
        <w:t>591—16.15</w:t>
      </w:r>
      <w:r>
        <w:rPr>
          <w:rFonts w:ascii="Times New Roman" w:hAnsi="Times New Roman"/>
          <w:b/>
          <w:i w:val="false"/>
          <w:color w:val="000000"/>
          <w:sz w:val="22"/>
        </w:rPr>
        <w:t xml:space="preserve">(17A) </w:t>
      </w:r>
      <w:r>
        <w:rPr>
          <w:rFonts w:ascii="Times New Roman" w:hAnsi="Times New Roman"/>
          <w:b/>
          <w:i w:val="false"/>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 as required by this rule.</w:t>
      </w:r>
    </w:p>
    <w:p>
      <w:pPr>
        <w:spacing w:before="210" w:after="0"/>
        <w:ind w:left="120"/>
        <w:jc w:val="both"/>
      </w:pPr>
      <w:r>
        <w:rPr>
          <w:rFonts w:ascii="Times New Roman" w:hAnsi="Times New Roman"/>
          <w:b/>
          <w:i w:val="false"/>
          <w:color w:val="000000"/>
          <w:sz w:val="22"/>
        </w:rPr>
        <w:t>591—16.16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of orders. </w:t>
      </w:r>
      <w:r>
        <w:rPr>
          <w:rFonts w:ascii="Times New Roman" w:hAnsi="Times New Roman"/>
          <w:b w:val="false"/>
          <w:i w:val="false"/>
          <w:color w:val="000000"/>
          <w:sz w:val="22"/>
        </w:rPr>
        <w:t>Within 30 days of its issuance, any order issued under this chapter shall be transmitted to the petitioner or the person to whom the order pertains and to any other person entitled to such notice by any provision of law. The petitioner shall ensure that notice of the order and a concise summary of its contents have been provided to all persons to whom notice is required by any provision of law within 30 days of the receipt of the order. The petitioner shall provide a written statement attesting to the fact that proper notice has been provided and to whom that notice has been provided. In addition, the board may give notice to other persons.</w:t>
      </w:r>
    </w:p>
    <w:p>
      <w:pPr>
        <w:spacing w:before="0" w:after="0"/>
        <w:ind w:left="120"/>
        <w:jc w:val="both"/>
      </w:pPr>
      <w:r>
        <w:rPr>
          <w:rFonts w:ascii="Times New Roman" w:hAnsi="Times New Roman"/>
          <w:b/>
          <w:i w:val="false"/>
          <w:color w:val="000000"/>
          <w:sz w:val="22"/>
        </w:rPr>
        <w:t>591—16.17</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The board shall submit information about granted and denied waivers to the Internet site pursuant to Iowa Code section </w:t>
      </w:r>
      <w:hyperlink r:id="rId7">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 xml:space="preserve"> within 60 days. The submission shall identify the rules for which a waiver has been granted or denied, the number of times a waiver was granted or denied for each rule and a citation to the statutory provisions implemented by the rules. The report submission shall include a general summary of the reasons justifying the board’s actions on waiver requests and, if practicable, shall detail the extent to which the granting of a waiver has affected the general applicability of the rule itself and the extent to which the granting of the waiver has established a precedent for additional waivers.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5827C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591—16.18</w:t>
      </w:r>
      <w:r>
        <w:rPr>
          <w:rFonts w:ascii="Times New Roman" w:hAnsi="Times New Roman"/>
          <w:b/>
          <w:i w:val="false"/>
          <w:color w:val="000000"/>
          <w:sz w:val="22"/>
        </w:rPr>
        <w:t xml:space="preserve">(17A) </w:t>
      </w:r>
      <w:r>
        <w:rPr>
          <w:rFonts w:ascii="Times New Roman" w:hAnsi="Times New Roman"/>
          <w:b/>
          <w:i w:val="false"/>
          <w:color w:val="000000"/>
          <w:sz w:val="22"/>
        </w:rPr>
        <w:t xml:space="preserve">Term and renewals of waivers. </w:t>
      </w:r>
      <w:r>
        <w:rPr>
          <w:rFonts w:ascii="Times New Roman" w:hAnsi="Times New Roman"/>
          <w:b w:val="false"/>
          <w:i w:val="false"/>
          <w:color w:val="000000"/>
          <w:sz w:val="22"/>
        </w:rPr>
        <w:t>Waivers issued pursuant to this chapter will not be on a permanent basis, unless specified as permanent. If a waiver is issued without either a specified time frame or a statement clearly identifying the specified waiver as permanent, the waiver will be deemed to be for a duration of 120 days. A waiver will automatically expire if no action is taken by the board to renew the waiver. Any action to renew the waiver must be in writing and specify terms and conditions of the renewal.</w:t>
      </w:r>
    </w:p>
    <w:p>
      <w:pPr>
        <w:spacing w:before="0" w:after="0"/>
        <w:ind w:left="120"/>
        <w:jc w:val="both"/>
      </w:pPr>
      <w:r>
        <w:rPr>
          <w:rFonts w:ascii="Times New Roman" w:hAnsi="Times New Roman"/>
          <w:b/>
          <w:i w:val="false"/>
          <w:color w:val="000000"/>
          <w:sz w:val="22"/>
        </w:rPr>
        <w:t>591—16.19</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who was the subject of the waiver order withheld from the board or knowingly misrepresented to the board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has been demonstrated to be insufficient and no other means exists to protect the substantial legal rights of any person;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of the conditions contained in the order.</w:t>
      </w:r>
    </w:p>
    <w:p>
      <w:pPr>
        <w:spacing w:before="210" w:after="0"/>
        <w:ind w:left="120"/>
        <w:jc w:val="both"/>
      </w:pPr>
      <w:r>
        <w:rPr>
          <w:rFonts w:ascii="Times New Roman" w:hAnsi="Times New Roman"/>
          <w:b/>
          <w:i w:val="false"/>
          <w:color w:val="000000"/>
          <w:sz w:val="22"/>
        </w:rPr>
        <w:t>591—16.20</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A 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591—16.21</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shall constitute a defense, within the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591—16.22</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Appeals within the board from a decision granting or denying a waiver shall be in accordance with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board rules. These appeals shall be taken within ten days of the issuance of the ruling granting or denying the waiver request unless a different time is provided by rule or statute.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ARC 5827C</w:t>
      </w:r>
      <w:r>
        <w:rPr>
          <w:rFonts w:ascii="Times New Roman" w:hAnsi="Times New Roman"/>
          <w:b w:val="false"/>
          <w:i w:val="false"/>
          <w:color w:val="000000"/>
          <w:sz w:val="21"/>
        </w:rPr>
        <w:t xml:space="preserve"> (Notice ARC 5637C, IAB 5/19/21)</w:t>
      </w:r>
      <w:r>
        <w:rPr>
          <w:rFonts w:ascii="Times New Roman" w:hAnsi="Times New Roman"/>
          <w:b w:val="false"/>
          <w:i w:val="false"/>
          <w:color w:val="000000"/>
          <w:sz w:val="21"/>
        </w:rPr>
        <w:t>, IAB 8/11/21, effective 9/15/21]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17A.10-18A.pdf" Type="http://schemas.openxmlformats.org/officeDocument/2006/relationships/hyperlink" Id="rId6"/>
    <Relationship TargetMode="External" Target="https://www.legis.iowa.gov/docs/ico/chapter/17A.9A.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9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