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MANAGEMENT OF STATE PRESERVES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575—2.1</w:t>
      </w:r>
      <w:r>
        <w:rPr>
          <w:rFonts w:ascii="Times New Roman" w:hAnsi="Times New Roman"/>
          <w:b/>
          <w:i w:val="false"/>
          <w:color w:val="000000"/>
          <w:sz w:val="22"/>
        </w:rPr>
        <w:t xml:space="preserve">(465C)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“Articles of dedication” </w:t>
      </w:r>
      <w:r>
        <w:rPr>
          <w:rFonts w:ascii="Times New Roman" w:hAnsi="Times New Roman"/>
          <w:b w:val="false"/>
          <w:i w:val="false"/>
          <w:color w:val="000000"/>
          <w:sz w:val="22"/>
        </w:rPr>
        <w:t xml:space="preserve">means those terms described in Iowa Code section </w:t>
      </w:r>
      <w:hyperlink r:id="rId5">
        <w:r>
          <w:rPr>
            <w:rStyle w:val="Hyperlink"/>
            <w:rFonts w:ascii="Times New Roman" w:hAnsi="Times New Roman"/>
            <w:b w:val="false"/>
            <w:i w:val="false"/>
            <w:color w:val="000000"/>
            <w:sz w:val="22"/>
          </w:rPr>
          <w:t>465C.9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state preserves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“Preserve”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465C.1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Types of preserves. </w:t>
      </w:r>
      <w:r>
        <w:rPr>
          <w:rFonts w:ascii="Times New Roman" w:hAnsi="Times New Roman"/>
          <w:b w:val="false"/>
          <w:i w:val="false"/>
          <w:color w:val="000000"/>
          <w:sz w:val="22"/>
        </w:rPr>
        <w:t>There shall be five major classes of preserves.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Natural preserves. </w:t>
      </w:r>
      <w:r>
        <w:rPr>
          <w:rFonts w:ascii="Times New Roman" w:hAnsi="Times New Roman"/>
          <w:b w:val="false"/>
          <w:i w:val="false"/>
          <w:color w:val="000000"/>
          <w:sz w:val="22"/>
        </w:rPr>
        <w:t>These areas contain natural communities, habitats, native flora and fauna, or endangered, threatened, or rare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Archaeological preserves. </w:t>
      </w:r>
      <w:r>
        <w:rPr>
          <w:rFonts w:ascii="Times New Roman" w:hAnsi="Times New Roman"/>
          <w:b w:val="false"/>
          <w:i w:val="false"/>
          <w:color w:val="000000"/>
          <w:sz w:val="22"/>
        </w:rPr>
        <w:t>These areas contain significant deposits left by prehistoric or early historic peoples.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Historical preserves. </w:t>
      </w:r>
      <w:r>
        <w:rPr>
          <w:rFonts w:ascii="Times New Roman" w:hAnsi="Times New Roman"/>
          <w:b w:val="false"/>
          <w:i w:val="false"/>
          <w:color w:val="000000"/>
          <w:sz w:val="22"/>
        </w:rPr>
        <w:t>These are sites that contain structures or places that are of significance in studying the tenure of humans in Iowa since the advent of the first Euro-American explorers.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Geological preserves. </w:t>
      </w:r>
      <w:r>
        <w:rPr>
          <w:rFonts w:ascii="Times New Roman" w:hAnsi="Times New Roman"/>
          <w:b w:val="false"/>
          <w:i w:val="false"/>
          <w:color w:val="000000"/>
          <w:sz w:val="22"/>
        </w:rPr>
        <w:t>These are areas which contain rare or distinctive landforms, fossils, stratigraphic sections, mineral deposits or examples of mining history; type or reference sections; or other special features or deposits which represent the events and processes of Iowa’s earth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Scenic preserves. </w:t>
      </w:r>
      <w:r>
        <w:rPr>
          <w:rFonts w:ascii="Times New Roman" w:hAnsi="Times New Roman"/>
          <w:b w:val="false"/>
          <w:i w:val="false"/>
          <w:color w:val="000000"/>
          <w:sz w:val="22"/>
        </w:rPr>
        <w:t>These are areas that contain scenic features of aesthetic, scientific, or educational value.</w:t>
      </w:r>
    </w:p>
    <w:p>
      <w:pPr>
        <w:spacing w:before="0" w:after="0"/>
        <w:ind w:left="120"/>
        <w:jc w:val="both"/>
      </w:pPr>
      <w:r>
        <w:rPr>
          <w:rFonts w:ascii="Times New Roman" w:hAnsi="Times New Roman"/>
          <w:b/>
          <w:i w:val="false"/>
          <w:color w:val="000000"/>
          <w:sz w:val="22"/>
        </w:rPr>
        <w:t>575—2.2</w:t>
      </w:r>
      <w:r>
        <w:rPr>
          <w:rFonts w:ascii="Times New Roman" w:hAnsi="Times New Roman"/>
          <w:b/>
          <w:i w:val="false"/>
          <w:color w:val="000000"/>
          <w:sz w:val="22"/>
        </w:rPr>
        <w:t xml:space="preserve">(465C) </w:t>
      </w:r>
      <w:r>
        <w:rPr>
          <w:rFonts w:ascii="Times New Roman" w:hAnsi="Times New Roman"/>
          <w:b/>
          <w:i w:val="false"/>
          <w:color w:val="000000"/>
          <w:sz w:val="22"/>
        </w:rPr>
        <w:t xml:space="preserve">Management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and management. </w:t>
      </w:r>
      <w:r>
        <w:rPr>
          <w:rFonts w:ascii="Times New Roman" w:hAnsi="Times New Roman"/>
          <w:b w:val="false"/>
          <w:i w:val="false"/>
          <w:color w:val="000000"/>
          <w:sz w:val="22"/>
        </w:rPr>
        <w:t>The administrative and management authority shall be agreed upon by the board, the property owner, and the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Management plan. </w:t>
      </w:r>
      <w:r>
        <w:rPr>
          <w:rFonts w:ascii="Times New Roman" w:hAnsi="Times New Roman"/>
          <w:b w:val="false"/>
          <w:i w:val="false"/>
          <w:color w:val="000000"/>
          <w:sz w:val="22"/>
        </w:rPr>
        <w:t>For each preserve, an authorized representative of the owner shall prepare a management plan in consultation with the department staff assigned to the board. The management plan shall be consistent with the articles of dedication and shall include identification of uses of the preserve that are compatible and incompatible with its dedication as a preserve. The management plan shall be amended from time to time as appropriate in response to new information. The management plan and amendments shall be submitted to the board for approval. The department shall keep a copy of the current management plan. A management plan for a new preserve shall be submitted for approval by the board in conjunction with approval of dedication of the preserve. Management plans for existing preserves shall be prepared and submitted for approval as resources are available. If the director and board disagree concerning the plan for a department-managed preserve, the disagreement shall be resolved by obtaining commission approval of a management plan.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465C.8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3/17/67]</w:t>
      </w:r>
    </w:p>
    <w:p>
      <w:pPr>
        <w:spacing w:before="0" w:after="0"/>
        <w:ind w:left="120"/>
        <w:jc w:val="center"/>
      </w:pPr>
      <w:r>
        <w:rPr>
          <w:rFonts w:ascii="Times New Roman" w:hAnsi="Times New Roman"/>
          <w:b w:val="false"/>
          <w:i w:val="false"/>
          <w:color w:val="000000"/>
          <w:sz w:val="21"/>
        </w:rPr>
        <w:t>[Filed 2/20/85, Notice 1/2/85—published 3/13/85, effective 4/18/85]</w:t>
      </w:r>
    </w:p>
    <w:p>
      <w:pPr>
        <w:spacing w:before="0" w:after="0"/>
        <w:ind w:left="120"/>
        <w:jc w:val="center"/>
      </w:pPr>
      <w:r>
        <w:rPr>
          <w:rFonts w:ascii="Times New Roman" w:hAnsi="Times New Roman"/>
          <w:b w:val="false"/>
          <w:i w:val="false"/>
          <w:color w:val="000000"/>
          <w:sz w:val="21"/>
        </w:rPr>
        <w:t>[Filed without Notice 10/17/86—published 11/5/86, effective 12/10/86]</w:t>
      </w:r>
    </w:p>
    <w:p>
      <w:pPr>
        <w:spacing w:before="0" w:after="0"/>
        <w:ind w:left="120"/>
        <w:jc w:val="center"/>
      </w:pPr>
      <w:r>
        <w:rPr>
          <w:rFonts w:ascii="Times New Roman" w:hAnsi="Times New Roman"/>
          <w:b w:val="false"/>
          <w:i w:val="false"/>
          <w:color w:val="000000"/>
          <w:sz w:val="21"/>
        </w:rPr>
        <w:t>[Filed 8/31/01, Notice 5/30/01—published 9/19/01, effective 10/24/01]</w:t>
      </w:r>
    </w:p>
    <w:p>
      <w:pPr>
        <w:spacing w:before="0" w:after="0"/>
        <w:ind w:left="120"/>
        <w:jc w:val="center"/>
      </w:pPr>
      <w:r>
        <w:rPr>
          <w:rFonts w:ascii="Times New Roman" w:hAnsi="Times New Roman"/>
          <w:b w:val="false"/>
          <w:i w:val="false"/>
          <w:color w:val="000000"/>
          <w:sz w:val="21"/>
        </w:rPr>
        <w:t>[Filed emergency 10/23/01—published 11/14/01, effective 10/23/01]</w:t>
      </w:r>
    </w:p>
    <w:p>
      <w:pPr>
        <w:spacing w:before="0" w:after="0"/>
        <w:ind w:left="120"/>
        <w:jc w:val="center"/>
      </w:pPr>
      <w:r>
        <w:rPr>
          <w:rFonts w:ascii="Times New Roman" w:hAnsi="Times New Roman"/>
          <w:b w:val="false"/>
          <w:i w:val="false"/>
          <w:color w:val="000000"/>
          <w:sz w:val="21"/>
        </w:rPr>
        <w:t>[Filed 2/1/02, Notice 11/14/01—published 2/20/02, effective 3/27/02]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5C.9.pdf" Type="http://schemas.openxmlformats.org/officeDocument/2006/relationships/hyperlink" Id="rId5"/>
    <Relationship TargetMode="External" Target="https://www.legis.iowa.gov/docs/ico/chapter/465C.1.pdf" Type="http://schemas.openxmlformats.org/officeDocument/2006/relationships/hyperlink" Id="rId6"/>
    <Relationship TargetMode="External" Target="https://www.legis.iowa.gov/docs/ico/chapter/465C.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