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DECLARATORY RULINGS</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201—11.1</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Any interested person may solicit oral or written advice from the director concerning the application or interpretation of any statute or administrative rule dealing with the department of corrections. However, unless the request is made pursuant to Iowa Code section </w:t>
      </w:r>
      <w:hyperlink r:id="rId5">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petition for declaratory ruling, any such advice is not binding upon the department. Petitioners for a declaratory ruling must have a real and direct interest in a specific fact situation which may affect their legal rights, duties or responsibilities under statutes or regulations administered by the department.</w:t>
      </w:r>
    </w:p>
    <w:p>
      <w:pPr>
        <w:spacing w:before="0" w:after="0"/>
        <w:ind w:left="120"/>
        <w:jc w:val="both"/>
      </w:pPr>
      <w:r>
        <w:rPr>
          <w:rFonts w:ascii="Times New Roman" w:hAnsi="Times New Roman"/>
          <w:b/>
          <w:i w:val="false"/>
          <w:color w:val="000000"/>
          <w:sz w:val="22"/>
        </w:rPr>
        <w:t>201—11.2</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rulings. </w:t>
      </w:r>
      <w:r>
        <w:rPr>
          <w:rFonts w:ascii="Times New Roman" w:hAnsi="Times New Roman"/>
          <w:b w:val="false"/>
          <w:i w:val="false"/>
          <w:color w:val="000000"/>
          <w:sz w:val="22"/>
        </w:rPr>
        <w:t>A petition for a declaratory ruling shall be filed in the director’s office, Department of Corrections, 510 East 12th Street, Des Moines, Iowa 50319. The petition shall either be mailed certified, return receipt requested, or delivered in person. An additional copy may be provided if the petitioner wishes to retain a filed stamped copy of the petition. The petition shall be typewritten and must substantially conform to the following:</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57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DEPARTMENT OF CORRECTIONS</w:t>
            </w:r>
          </w:p>
          <w:p>
            <w:pPr>
              <w:spacing w:before="0" w:after="0"/>
              <w:ind w:left="160"/>
              <w:jc w:val="center"/>
            </w:pPr>
            <w:r>
              <w:rPr>
                <w:rFonts w:ascii="Times New Roman" w:hAnsi="Times New Roman"/>
                <w:b w:val="false"/>
                <w:i w:val="false"/>
                <w:color w:val="000000"/>
                <w:sz w:val="16"/>
              </w:rPr>
              <w:t xml:space="preserve"> 510 EAST 12TH STREET</w:t>
            </w:r>
          </w:p>
          <w:p>
            <w:pPr>
              <w:spacing w:before="0" w:after="0"/>
              <w:ind w:left="160"/>
              <w:jc w:val="center"/>
            </w:pPr>
            <w:r>
              <w:rPr>
                <w:rFonts w:ascii="Times New Roman" w:hAnsi="Times New Roman"/>
                <w:b w:val="false"/>
                <w:i w:val="false"/>
                <w:color w:val="000000"/>
                <w:sz w:val="16"/>
              </w:rPr>
              <w:t>DES MOINES, IOWA 50319</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________</w:t>
            </w:r>
            <w:r>
              <w:rPr>
                <w:rFonts w:ascii="Times New Roman" w:hAnsi="Times New Roman"/>
                <w:b w:val="false"/>
                <w:i w:val="false"/>
                <w:color w:val="000000"/>
                <w:sz w:val="16"/>
                <w:u w:val="single"/>
              </w:rPr>
              <w:t>(Name)</w:t>
            </w:r>
            <w:r>
              <w:rPr>
                <w:rFonts w:ascii="Times New Roman" w:hAnsi="Times New Roman"/>
                <w:b w:val="false"/>
                <w:i w:val="false"/>
                <w:color w:val="000000"/>
                <w:sz w:val="16"/>
              </w:rPr>
              <w:t>__________</w:t>
            </w:r>
          </w:p>
          <w:p>
            <w:pPr>
              <w:spacing w:before="0" w:after="0"/>
              <w:ind w:left="160"/>
              <w:jc w:val="left"/>
            </w:pPr>
            <w:r>
              <w:rPr>
                <w:rFonts w:ascii="Times New Roman" w:hAnsi="Times New Roman"/>
                <w:b w:val="false"/>
                <w:i w:val="false"/>
                <w:color w:val="000000"/>
                <w:sz w:val="16"/>
              </w:rPr>
              <w:t>For a Declaratory Ruling on</w:t>
            </w:r>
          </w:p>
          <w:p>
            <w:pPr>
              <w:spacing w:before="0" w:after="0"/>
              <w:ind w:left="160"/>
              <w:jc w:val="left"/>
            </w:pPr>
            <w:r>
              <w:rPr>
                <w:rFonts w:ascii="Times New Roman" w:hAnsi="Times New Roman"/>
                <w:b w:val="false"/>
                <w:i w:val="false"/>
                <w:color w:val="000000"/>
                <w:sz w:val="16"/>
              </w:rPr>
              <w:t>(state statute, rule citation to be ruled 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RULING</w:t>
            </w:r>
          </w:p>
        </w:tc>
      </w:tr>
    </w:tbl>
    <w:p>
      <w:pPr>
        <w:spacing w:before="0" w:after="0"/>
        <w:ind w:left="120"/>
        <w:jc w:val="both"/>
      </w:pPr>
      <w:r>
        <w:rPr>
          <w:rFonts w:ascii="Times New Roman" w:hAnsi="Times New Roman"/>
          <w:b w:val="false"/>
          <w:i w:val="false"/>
          <w:color w:val="000000"/>
          <w:sz w:val="22"/>
        </w:rPr>
        <w:t>(Petition must state in separately numbered paragraphs)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Petitioner’s name, address and telephone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clear, concise and complete statement of all relevant facts on which the ruling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clear and concise statement of the controversy or uncertainty.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Reference to the statutory authority or rules in question, along with attached copies.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prompting the petition and a full disclosure of petitioner’s interest.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petitioner is currently a party to a contested case, rule making or judicial proceeding involving the controversy or uncertainty.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when known, of other persons who may be affected by the declaratory ruling.</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70" w:hRule="atLeast"/>
        </w:trPr>
        <w:tc>
          <w:tcPr>
            <w:tcW w:w="111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201—11.3</w:t>
      </w:r>
      <w:r>
        <w:rPr>
          <w:rFonts w:ascii="Times New Roman" w:hAnsi="Times New Roman"/>
          <w:b/>
          <w:i w:val="false"/>
          <w:color w:val="000000"/>
          <w:sz w:val="22"/>
        </w:rPr>
        <w:t xml:space="preserve">(17A) </w:t>
      </w:r>
      <w:r>
        <w:rPr>
          <w:rFonts w:ascii="Times New Roman" w:hAnsi="Times New Roman"/>
          <w:b/>
          <w:i w:val="false"/>
          <w:color w:val="000000"/>
          <w:sz w:val="22"/>
        </w:rPr>
        <w:t xml:space="preserve">Procedure after petition is filed.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 Initial review. </w:t>
      </w:r>
      <w:r>
        <w:rPr>
          <w:rFonts w:ascii="Times New Roman" w:hAnsi="Times New Roman"/>
          <w:b w:val="false"/>
          <w:i w:val="false"/>
          <w:color w:val="000000"/>
          <w:sz w:val="22"/>
        </w:rPr>
        <w:t>Upon filing of the petition, the director shall inspect the petition for substantial compliance with the recommended form, and may, in the director’s discretion, reject a petition which fails to contain one or more of the required statements. The director may request that the petitioner provide additional facts or provide greater specificity and detail in the questions posed. A request shall be made within 5 days of the filing of the petition. If the requested information is not provided within 30 days of the receipt of the request, the petitioner will be deemed to have withdrawn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 Declaratory ruling. </w:t>
      </w:r>
      <w:r>
        <w:rPr>
          <w:rFonts w:ascii="Times New Roman" w:hAnsi="Times New Roman"/>
          <w:b w:val="false"/>
          <w:i w:val="false"/>
          <w:color w:val="000000"/>
          <w:sz w:val="22"/>
        </w:rPr>
        <w:t>Within 30 days of the receipt of the petition or additional information, whichever is later, the director shall issue a declaratory ruling or decline to rule. Declination to rule may be based upon one or more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issue in question is currently involved in a rule making, contested case or judicial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sufficient facts to demonstrate that the petitioner will be aggrieved or adversely affected by failure to issue a declaratory ruling.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petitioner presents issues or facts which are unclear, overbroad or otherwise inappropriate as a basis upon which to issue a declaratory ruling.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petition indicates the petitioner seeks to obtain approval to engage in activities so borderline as to be of dubious legality, although perhaps marginally proper.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issue in question has been rendered moot by a change in circumstances,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issue in question depends upon peculiar facts which cannot be predicted or accurately described in advance.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good and sufficient reasons, which shall be detailed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 Effect of declaratory ruling. </w:t>
      </w:r>
      <w:r>
        <w:rPr>
          <w:rFonts w:ascii="Times New Roman" w:hAnsi="Times New Roman"/>
          <w:b w:val="false"/>
          <w:i w:val="false"/>
          <w:color w:val="000000"/>
          <w:sz w:val="22"/>
        </w:rPr>
        <w:t>A declaratory ruling is binding upon both the department and the petitioner on the questions of law dealt with in the ruling.</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9/9/83—published 9/28/83, effective 10/1/83]</w:t>
      </w:r>
    </w:p>
    <w:p>
      <w:pPr>
        <w:spacing w:before="0" w:after="0"/>
        <w:ind w:left="120"/>
        <w:jc w:val="center"/>
      </w:pPr>
      <w:r>
        <w:rPr>
          <w:rFonts w:ascii="Times New Roman" w:hAnsi="Times New Roman"/>
          <w:b w:val="false"/>
          <w:i w:val="false"/>
          <w:color w:val="000000"/>
          <w:sz w:val="21"/>
        </w:rPr>
        <w:t>[Filed 11/18/83, Notice 9/28/83—published 12/7/83, effective 1/11/84]</w:t>
      </w:r>
    </w:p>
    <w:p>
      <w:pPr>
        <w:spacing w:before="0" w:after="0"/>
        <w:ind w:left="120"/>
        <w:jc w:val="center"/>
      </w:pPr>
      <w:r>
        <w:rPr>
          <w:rFonts w:ascii="Times New Roman" w:hAnsi="Times New Roman"/>
          <w:b w:val="false"/>
          <w:i w:val="false"/>
          <w:color w:val="000000"/>
          <w:sz w:val="21"/>
        </w:rPr>
        <w:t>[Filed 5/4/84, Notice 2/15/84—published 5/23/84, effective 6/27/84]</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pdf" Type="http://schemas.openxmlformats.org/officeDocument/2006/relationships/hyperlink" Id="rId5"/>
    <Relationship TargetMode="External" Target="https://www.legis.iowa.gov/docs/ico/chapter/17A.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