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DISCIPLINARY ACTIONS AGAINST CERTIFIED AND</w:t>
      </w:r>
      <w:r>
        <w:br/>
      </w:r>
      <w:r>
        <w:rPr>
          <w:rFonts w:ascii="Times New Roman" w:hAnsi="Times New Roman"/>
          <w:b w:val="false"/>
          <w:i w:val="false"/>
          <w:color w:val="000000"/>
          <w:sz w:val="21"/>
        </w:rPr>
        <w:t>ASSOCIATE APPRAISERS</w:t>
      </w:r>
    </w:p>
    <w:p>
      <w:pPr>
        <w:spacing w:before="0" w:after="0"/>
        <w:ind w:left="120"/>
        <w:jc w:val="center"/>
      </w:pPr>
      <w:r>
        <w:rPr>
          <w:rFonts w:ascii="Times New Roman" w:hAnsi="Times New Roman"/>
          <w:b w:val="false"/>
          <w:i w:val="false"/>
          <w:color w:val="000000"/>
          <w:sz w:val="14"/>
        </w:rPr>
        <w:t>[Prior to 4/17/24, see 193F—Chapter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193F—6.1</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Disciplinary authority. </w:t>
      </w:r>
      <w:r>
        <w:rPr>
          <w:rFonts w:ascii="Times New Roman" w:hAnsi="Times New Roman"/>
          <w:b w:val="false"/>
          <w:i w:val="false"/>
          <w:color w:val="000000"/>
          <w:sz w:val="22"/>
        </w:rPr>
        <w:t>The board is empowered to regulate the real estate appraiser profession for the protection and well-being of the public trust. To perform these functions, the board is broadly vested with authority to review and investigate alleged acts or omissions of applicants and licensees and to address disciplinary concerns under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193F—6.2</w:t>
      </w:r>
      <w:r>
        <w:rPr>
          <w:rFonts w:ascii="Times New Roman" w:hAnsi="Times New Roman"/>
          <w:b/>
          <w:i w:val="false"/>
          <w:color w:val="000000"/>
          <w:sz w:val="22"/>
        </w:rPr>
        <w:t xml:space="preserve">(543D) </w:t>
      </w:r>
      <w:r>
        <w:rPr>
          <w:rFonts w:ascii="Times New Roman" w:hAnsi="Times New Roman"/>
          <w:b/>
          <w:i w:val="false"/>
          <w:color w:val="000000"/>
          <w:sz w:val="22"/>
        </w:rPr>
        <w:t xml:space="preserve">Standards of practice. </w:t>
      </w:r>
      <w:r>
        <w:rPr>
          <w:rFonts w:ascii="Times New Roman" w:hAnsi="Times New Roman"/>
          <w:b w:val="false"/>
          <w:i w:val="false"/>
          <w:color w:val="000000"/>
          <w:sz w:val="22"/>
        </w:rPr>
        <w:t>All registered associate appraisers and certified real estate appraisers will comply with the USPAP edition applicable to each appraisal assignment.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193F—6.3</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board may initiate disciplinary action against a registered associate appraiser or a certified real estate appraiser based on any one or more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Code violations. </w:t>
      </w:r>
      <w:r>
        <w:rPr>
          <w:rFonts w:ascii="Times New Roman" w:hAnsi="Times New Roman"/>
          <w:b w:val="false"/>
          <w:i w:val="false"/>
          <w:color w:val="000000"/>
          <w:sz w:val="22"/>
        </w:rPr>
        <w:t>Any violation of an Iowa Code provision that authorizes imposition of licensee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any false or forged diploma, course certificate, identification, credential, license, registration, certification, examination report, affidavit, or other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provide complete information in response to a question on an application for initial or renewal registration or certification;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Otherwise participating in any form of fraud or misrepresentation by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Professional incompetence. </w:t>
      </w:r>
      <w:r>
        <w:rPr>
          <w:rFonts w:ascii="Times New Roman" w:hAnsi="Times New Roman"/>
          <w:b w:val="false"/>
          <w:i w:val="false"/>
          <w:color w:val="000000"/>
          <w:sz w:val="22"/>
        </w:rPr>
        <w:t>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standards of acceptable and prevailing practice of registered associate appraisers or certified real property appraisers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willful, repeated, or material deviation from USPAP standards, or other act or omission that demonstrates an inability to safely practice in a manner protective of the public’s interest, including any violation of USPAP’s competency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Deceptive practices. </w:t>
      </w:r>
      <w:r>
        <w:rPr>
          <w:rFonts w:ascii="Times New Roman" w:hAnsi="Times New Roman"/>
          <w:b w:val="false"/>
          <w:i w:val="false"/>
          <w:color w:val="000000"/>
          <w:sz w:val="22"/>
        </w:rPr>
        <w:t>Deceptive practices are grounds for discipline, whether or not actual injury is established, and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real property appraising.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registrant or certificate holder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records or appraisal logs through false or deceptive representations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Submission of false or misleading reports or information to the board including information supplied in an audit of continuing education, reports submitted as a condition of probation, or any reports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Making any false or misleading statement in support of an application for registration or certification submitted by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presenting as one’s own a certificate or registration, certificate or registration number, or signature of another or of a fictitious registrant or certificate holder, or otherwise falsely impersonating a certified appraiser or registered associate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registered associate appraiser or certified appraiser when one’s registration or certificate has been suspended, revoked, surrendered, or placed on inactive or retired status, or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registrant’s or certificate holder’s registration or certificate for any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Misrepresenting a specialized service as an appraisal assignment in violation of Iowa Code section </w:t>
      </w:r>
      <w:hyperlink r:id="rId5">
        <w:r>
          <w:rPr>
            <w:rStyle w:val="Hyperlink"/>
            <w:rFonts w:ascii="Times New Roman" w:hAnsi="Times New Roman"/>
            <w:b w:val="false"/>
            <w:i w:val="false"/>
            <w:color w:val="000000"/>
            <w:sz w:val="22"/>
          </w:rPr>
          <w:t>543D.18(3)</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w:t>
      </w:r>
      <w:r>
        <w:rPr>
          <w:rFonts w:ascii="Times New Roman" w:hAnsi="Times New Roman"/>
          <w:b w:val="false"/>
          <w:i w:val="false"/>
          <w:color w:val="000000"/>
          <w:sz w:val="22"/>
        </w:rPr>
        <w:t> </w:t>
      </w:r>
      <w:r>
        <w:rPr>
          <w:rFonts w:ascii="Times New Roman" w:hAnsi="Times New Roman"/>
          <w:b w:val="false"/>
          <w:i/>
          <w:color w:val="000000"/>
          <w:sz w:val="22"/>
        </w:rPr>
        <w:t xml:space="preserve">Unethical, harmful or detrimental conduct. </w:t>
      </w:r>
      <w:r>
        <w:rPr>
          <w:rFonts w:ascii="Times New Roman" w:hAnsi="Times New Roman"/>
          <w:b w:val="false"/>
          <w:i w:val="false"/>
          <w:color w:val="000000"/>
          <w:sz w:val="22"/>
        </w:rPr>
        <w:t>Registrants and certificate holders engaging in unethical conduct or practices harmful or detrimental to the public may be disciplined whether or not injury is established. Behaviors and conduct that are unethical, harmful or detrimental to the public may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improper sexual contact, or making suggestive, lewd, lascivious, offensive or improper remarks or advances, if such behavior occurs within the practice of real property appraising or if such behavior otherwise provides a reasonable basis for the board to conclude that such behavior within the practice of real estate appraising would place the public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 or otherwise violating the public trust, as provided in USPAP’s ethics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Aiding or abetting any unlawful activity for which a civil penalty can be imposed under rule </w:t>
      </w:r>
      <w:hyperlink r:id="rId7">
        <w:r>
          <w:rPr>
            <w:rStyle w:val="Hyperlink"/>
            <w:rFonts w:ascii="Times New Roman" w:hAnsi="Times New Roman"/>
            <w:b w:val="false"/>
            <w:i w:val="false"/>
            <w:color w:val="000000"/>
            <w:sz w:val="22"/>
          </w:rPr>
          <w:t>193F—12.2</w:t>
        </w:r>
      </w:hyperlink>
      <w:r>
        <w:rPr>
          <w:rFonts w:ascii="Times New Roman" w:hAnsi="Times New Roman"/>
          <w:b w:val="false"/>
          <w:i w:val="false"/>
          <w:color w:val="000000"/>
          <w:sz w:val="22"/>
        </w:rPr>
        <w:t>(543D).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w:t>
      </w:r>
      <w:r>
        <w:rPr>
          <w:rFonts w:ascii="Times New Roman" w:hAnsi="Times New Roman"/>
          <w:b w:val="false"/>
          <w:i w:val="false"/>
          <w:color w:val="000000"/>
          <w:sz w:val="22"/>
        </w:rPr>
        <w:t> </w:t>
      </w:r>
      <w:r>
        <w:rPr>
          <w:rFonts w:ascii="Times New Roman" w:hAnsi="Times New Roman"/>
          <w:b w:val="false"/>
          <w:i/>
          <w:color w:val="000000"/>
          <w:sz w:val="22"/>
        </w:rPr>
        <w:t xml:space="preserve">Lack of proper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as a registered associate appraiser or certified real property appraiser without satisfying the continuing education for registration or certificate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Acting as a supervisor without proper qualification, as provided in rule </w:t>
      </w:r>
      <w:hyperlink r:id="rId8">
        <w:r>
          <w:rPr>
            <w:rStyle w:val="Hyperlink"/>
            <w:rFonts w:ascii="Times New Roman" w:hAnsi="Times New Roman"/>
            <w:b w:val="false"/>
            <w:i w:val="false"/>
            <w:color w:val="000000"/>
            <w:sz w:val="22"/>
          </w:rPr>
          <w:t>193F—4.7</w:t>
        </w:r>
      </w:hyperlink>
      <w:r>
        <w:rPr>
          <w:rFonts w:ascii="Times New Roman" w:hAnsi="Times New Roman"/>
          <w:b w:val="false"/>
          <w:i w:val="false"/>
          <w:color w:val="000000"/>
          <w:sz w:val="22"/>
        </w:rPr>
        <w:t>(543D).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or impairment that adversely affects the registrant’s or certificate holder’s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act, conduct, or condition, including lack of education or experience and careless or intentional acts or omissions, that demonstrates a lack of qualifications that are necessary to ensure a high standard of professional care as provided in Iowa Code section </w:t>
      </w:r>
      <w:hyperlink r:id="rId9">
        <w:r>
          <w:rPr>
            <w:rStyle w:val="Hyperlink"/>
            <w:rFonts w:ascii="Times New Roman" w:hAnsi="Times New Roman"/>
            <w:b w:val="false"/>
            <w:i w:val="false"/>
            <w:color w:val="000000"/>
            <w:sz w:val="22"/>
          </w:rPr>
          <w:t>272C.3(2)</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that impairs a practitioner’s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meet the minimum qualifications for registration as an associate appraiser or certification as a certified real property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Practicing outside the scope of a certification, or outside the scope of a supervisor’s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w:t>
      </w:r>
      <w:r>
        <w:rPr>
          <w:rFonts w:ascii="Times New Roman" w:hAnsi="Times New Roman"/>
          <w:b w:val="false"/>
          <w:i w:val="false"/>
          <w:color w:val="000000"/>
          <w:sz w:val="22"/>
        </w:rPr>
        <w:t> </w:t>
      </w:r>
      <w:r>
        <w:rPr>
          <w:rFonts w:ascii="Times New Roman" w:hAnsi="Times New Roman"/>
          <w:b w:val="false"/>
          <w:i/>
          <w:color w:val="000000"/>
          <w:sz w:val="22"/>
        </w:rPr>
        <w:t xml:space="preserve">Negligence by the registrant or certificate holder in the practice of the profession. </w:t>
      </w:r>
      <w:r>
        <w:rPr>
          <w:rFonts w:ascii="Times New Roman" w:hAnsi="Times New Roman"/>
          <w:b w:val="false"/>
          <w:i w:val="false"/>
          <w:color w:val="000000"/>
          <w:sz w:val="22"/>
        </w:rPr>
        <w:t>Negligence by the registrant or certificate holder in the practice of the profession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failure to exercise due care including negligent delegation of duties to or supervision of associate appraisers, or other employees, agents, or persons, in developing an appraisal, preparing an appraisal report, or communicating an appraisal,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Neglect of contractual or other duties to a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w:t>
      </w:r>
      <w:r>
        <w:rPr>
          <w:rFonts w:ascii="Times New Roman" w:hAnsi="Times New Roman"/>
          <w:b w:val="false"/>
          <w:i w:val="false"/>
          <w:color w:val="000000"/>
          <w:sz w:val="22"/>
        </w:rPr>
        <w:t> </w:t>
      </w:r>
      <w:r>
        <w:rPr>
          <w:rFonts w:ascii="Times New Roman" w:hAnsi="Times New Roman"/>
          <w:b w:val="false"/>
          <w:i/>
          <w:color w:val="000000"/>
          <w:sz w:val="22"/>
        </w:rPr>
        <w:t xml:space="preserve">Professional misconduct.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Violation of a regulation or law of this state, another state, or the United States, which relates to the practice of real estate appraising.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licensing authority of this state or another state, territory, or country. A stay by an appellate court will not negate this obligation; however, if such disciplinary action is overturned or reversed by a court of last resort, discipline by the board based solely on such action will be vacated.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section </w:t>
      </w:r>
      <w:hyperlink r:id="rId10">
        <w:r>
          <w:rPr>
            <w:rStyle w:val="Hyperlink"/>
            <w:rFonts w:ascii="Times New Roman" w:hAnsi="Times New Roman"/>
            <w:b w:val="false"/>
            <w:i w:val="false"/>
            <w:color w:val="000000"/>
            <w:sz w:val="22"/>
          </w:rPr>
          <w:t>543D.18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section </w:t>
      </w:r>
      <w:hyperlink r:id="rId11">
        <w:r>
          <w:rPr>
            <w:rStyle w:val="Hyperlink"/>
            <w:rFonts w:ascii="Times New Roman" w:hAnsi="Times New Roman"/>
            <w:b w:val="false"/>
            <w:i w:val="false"/>
            <w:color w:val="000000"/>
            <w:sz w:val="22"/>
          </w:rPr>
          <w:t>543D.20</w:t>
        </w:r>
      </w:hyperlink>
      <w:r>
        <w:rPr>
          <w:rFonts w:ascii="Times New Roman" w:hAnsi="Times New Roman"/>
          <w:b w:val="false"/>
          <w:i w:val="false"/>
          <w:color w:val="000000"/>
          <w:sz w:val="22"/>
        </w:rPr>
        <w:t xml:space="preserve"> (limitations on persons assisting in the development or reporting of a certified appraisal).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retain records as provided in Iowa Code section </w:t>
      </w:r>
      <w:hyperlink r:id="rId12">
        <w:r>
          <w:rPr>
            <w:rStyle w:val="Hyperlink"/>
            <w:rFonts w:ascii="Times New Roman" w:hAnsi="Times New Roman"/>
            <w:b w:val="false"/>
            <w:i w:val="false"/>
            <w:color w:val="000000"/>
            <w:sz w:val="22"/>
          </w:rPr>
          <w:t>543D.19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Violation of the terms of an initial agreement with the impaired practitioner review committee or violation of the terms of an impaired practitioner recovery contract with the impaired practitioner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w:t>
      </w:r>
      <w:r>
        <w:rPr>
          <w:rFonts w:ascii="Times New Roman" w:hAnsi="Times New Roman"/>
          <w:b w:val="false"/>
          <w:i w:val="false"/>
          <w:color w:val="000000"/>
          <w:sz w:val="22"/>
        </w:rPr>
        <w:t> </w:t>
      </w:r>
      <w:r>
        <w:rPr>
          <w:rFonts w:ascii="Times New Roman" w:hAnsi="Times New Roman"/>
          <w:b w:val="false"/>
          <w:i/>
          <w:color w:val="000000"/>
          <w:sz w:val="22"/>
        </w:rPr>
        <w:t xml:space="preserve">Willful or repeated violations. </w:t>
      </w:r>
      <w:r>
        <w:rPr>
          <w:rFonts w:ascii="Times New Roman" w:hAnsi="Times New Roman"/>
          <w:b w:val="false"/>
          <w:i w:val="false"/>
          <w:color w:val="000000"/>
          <w:sz w:val="22"/>
        </w:rPr>
        <w:t xml:space="preserve">The willful or repeated violation or disregard of any provision of Iowa Code chapter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or any administrative rule adopted by the board in the administration or enforcement of such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w:t>
      </w:r>
      <w:r>
        <w:rPr>
          <w:rFonts w:ascii="Times New Roman" w:hAnsi="Times New Roman"/>
          <w:b w:val="false"/>
          <w:i w:val="false"/>
          <w:color w:val="000000"/>
          <w:sz w:val="22"/>
        </w:rPr>
        <w:t> </w:t>
      </w:r>
      <w:r>
        <w:rPr>
          <w:rFonts w:ascii="Times New Roman" w:hAnsi="Times New Roman"/>
          <w:b w:val="false"/>
          <w:i/>
          <w:color w:val="000000"/>
          <w:sz w:val="22"/>
        </w:rPr>
        <w:t xml:space="preserve">Failure to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by a registrant or certificate holder or an applicant for a registration or certificate to report in writing to the board any revocation, suspension, or other disciplinary action taken by a licensing authority, in Iowa or any other jurisdiction, within 30 calendar days of the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a registrant or certificate holder or an applicant for a registration or certificate to report, within 30 calendar days of the action, any voluntary surrender of a professional license to resolve a pending disciplinary investigation or action, in Iowa or any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calendar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calendar days after occurrence of any adverse judgment in a professional or occupational malpractice action, or settlement of any claim involving malpractice,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registrant or certificate holder to the board for any violation listed in these rules, pursuant to Iowa Code section </w:t>
      </w:r>
      <w:hyperlink r:id="rId15">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promptly after the registrant or certificate holder becomes aware that a reportable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report to the board the appraiser’s principal place of business and any change in the appraiser’s principal place of business within 30 calendar days of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an associate appraiser or supervisor to timely respond to board requests for information, as provided in </w:t>
      </w:r>
      <w:hyperlink r:id="rId16">
        <w:r>
          <w:rPr>
            <w:rStyle w:val="Hyperlink"/>
            <w:rFonts w:ascii="Times New Roman" w:hAnsi="Times New Roman"/>
            <w:b w:val="false"/>
            <w:i w:val="false"/>
            <w:color w:val="000000"/>
            <w:sz w:val="22"/>
          </w:rPr>
          <w:t>193F—Chapter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board order. </w:t>
      </w:r>
      <w:r>
        <w:rPr>
          <w:rFonts w:ascii="Times New Roman" w:hAnsi="Times New Roman"/>
          <w:b w:val="false"/>
          <w:i w:val="false"/>
          <w:color w:val="000000"/>
          <w:sz w:val="22"/>
        </w:rPr>
        <w:t>Failure to comply with the terms of a board order or the terms of a settlement agreement or consent order, or other decision of the board imposing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w:t>
      </w:r>
      <w:r>
        <w:rPr>
          <w:rFonts w:ascii="Times New Roman" w:hAnsi="Times New Roman"/>
          <w:b w:val="false"/>
          <w:i w:val="false"/>
          <w:color w:val="000000"/>
          <w:sz w:val="22"/>
        </w:rPr>
        <w:t> </w:t>
      </w:r>
      <w:r>
        <w:rPr>
          <w:rFonts w:ascii="Times New Roman" w:hAnsi="Times New Roman"/>
          <w:b w:val="false"/>
          <w:i/>
          <w:color w:val="000000"/>
          <w:sz w:val="22"/>
        </w:rPr>
        <w:t xml:space="preserve">Conviction of a crime.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Conviction, in this state or any other jurisdiction, of any felony offense that directly relates to the profession, or of any crime that is substantially related to the qualifications, functions, duties or practice of a person developing or communicating real estate appraisals to others. Any crime involving deception, dishonesty or disregard for the safety of others will be deemed directly related to the practice of real property appraising. A certified copy of the final order or judgment of conviction or plea of guilty in this state or in another jurisdiction will be conclusive evidence of the conviction. “Conviction” includes any plea of guilty or nolo contendere, including Alford pleas, or finding of guilt whether or not judgment or sentence is deferred, withheld, or not entered, and whether or not the conviction is on appeal. If such conviction is overturned or reversed by a court of last resort, discipline by the board based solely on the conviction will be vacated. A conviction qualifies as a felony offense if the offense is designated as a felony in the jurisdiction in which the conviction occurred, or if the offense is committed in this state, the offense would be a felony, without regard to its designation elsewhere. An offense directly relates to the profession if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actions taken in furtherance of an offense are actions customarily performed within the scope of practice of the profession,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an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a conviction may be grounds for revocation or suspension only if an unreasonable risk to public safety exists because the offense directly relates to the duties and responsibilities of the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2007 Iowa Acts, Senate File 137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7843C</w:t>
      </w:r>
      <w:r>
        <w:rPr>
          <w:rFonts w:ascii="Times New Roman" w:hAnsi="Times New Roman"/>
          <w:b w:val="false"/>
          <w:i w:val="false"/>
          <w:color w:val="000000"/>
          <w:sz w:val="21"/>
        </w:rPr>
        <w:t xml:space="preserve"> (Notice ARC 7263C,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18.pdf" Type="http://schemas.openxmlformats.org/officeDocument/2006/relationships/hyperlink" Id="rId5"/>
    <Relationship TargetMode="External" Target="https://www.legis.iowa.gov/docs/ico/chapter/543D.18.pdf" Type="http://schemas.openxmlformats.org/officeDocument/2006/relationships/hyperlink" Id="rId6"/>
    <Relationship TargetMode="External" Target="https://www.legis.iowa.gov/docs/iac/rule/193F.12.2.pdf" Type="http://schemas.openxmlformats.org/officeDocument/2006/relationships/hyperlink" Id="rId7"/>
    <Relationship TargetMode="External" Target="https://www.legis.iowa.gov/docs/iac/rule/193F.4.7.pdf" Type="http://schemas.openxmlformats.org/officeDocument/2006/relationships/hyperlink" Id="rId8"/>
    <Relationship TargetMode="External" Target="https://www.legis.iowa.gov/docs/ico/chapter/272C.3.pdf" Type="http://schemas.openxmlformats.org/officeDocument/2006/relationships/hyperlink" Id="rId9"/>
    <Relationship TargetMode="External" Target="https://www.legis.iowa.gov/docs/ico/chapter/543D.18.pdf" Type="http://schemas.openxmlformats.org/officeDocument/2006/relationships/hyperlink" Id="rId10"/>
    <Relationship TargetMode="External" Target="https://www.legis.iowa.gov/docs/ico/chapter/543D.20.pdf" Type="http://schemas.openxmlformats.org/officeDocument/2006/relationships/hyperlink" Id="rId11"/>
    <Relationship TargetMode="External" Target="https://www.legis.iowa.gov/docs/ico/chapter/543D.19.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co/chapter/543D.pdf" Type="http://schemas.openxmlformats.org/officeDocument/2006/relationships/hyperlink" Id="rId14"/>
    <Relationship TargetMode="External" Target="https://www.legis.iowa.gov/docs/ico/chapter/272C.9.pdf" Type="http://schemas.openxmlformats.org/officeDocument/2006/relationships/hyperlink" Id="rId15"/>
    <Relationship TargetMode="External" Target="https://www.legis.iowa.gov/docs/iac/chapter/193F.4.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co/chapter/543D.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