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GENERAL PROVISIONS FOR EXAMINATIONS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193F—3.1</w:t>
      </w:r>
      <w:r>
        <w:rPr>
          <w:rFonts w:ascii="Times New Roman" w:hAnsi="Times New Roman"/>
          <w:b/>
          <w:i w:val="false"/>
          <w:color w:val="000000"/>
          <w:sz w:val="22"/>
        </w:rPr>
        <w:t xml:space="preserve">(543D) </w:t>
      </w:r>
      <w:r>
        <w:rPr>
          <w:rFonts w:ascii="Times New Roman" w:hAnsi="Times New Roman"/>
          <w:b/>
          <w:i w:val="false"/>
          <w:color w:val="000000"/>
          <w:sz w:val="22"/>
        </w:rPr>
        <w:t xml:space="preserve">Examinations. </w:t>
      </w:r>
      <w:r>
        <w:rPr>
          <w:rFonts w:ascii="Times New Roman" w:hAnsi="Times New Roman"/>
          <w:b w:val="false"/>
          <w:i w:val="false"/>
          <w:color w:val="000000"/>
          <w:sz w:val="22"/>
        </w:rPr>
        <w:t>Applicants for a license from the board need to take the examination from the board-approved testing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193F—3.2</w:t>
      </w:r>
      <w:r>
        <w:rPr>
          <w:rFonts w:ascii="Times New Roman" w:hAnsi="Times New Roman"/>
          <w:b/>
          <w:i w:val="false"/>
          <w:color w:val="000000"/>
          <w:sz w:val="22"/>
        </w:rPr>
        <w:t xml:space="preserve">(543D) </w:t>
      </w:r>
      <w:r>
        <w:rPr>
          <w:rFonts w:ascii="Times New Roman" w:hAnsi="Times New Roman"/>
          <w:b/>
          <w:i w:val="false"/>
          <w:color w:val="000000"/>
          <w:sz w:val="22"/>
        </w:rPr>
        <w:t xml:space="preserve">Conduct of applicant.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Any individual who subverts or attempts to subvert the examination process may, at the discretion of the board, have the individual’s examination scores declared invalid for the purpose of certification in Iowa, be barred from the appraisal certification examinations in Iowa, or be subject to the imposition of other sanctions that the board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Conduct that subverts or attempts to subvert the examination process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security of the examination materials, such as removing from the examination room any of the examination materials; reproducing or reconstructing any portion of the examination; aiding by any means in the reproduction or reconstruction of any portion of the examination; selling, distributing, buying, receiving, or having unauthorized possession of any portion of a future, current, or previously administered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standard of test administration, such as communicating with any other examination candidate during the administration of the examination; copying answers from another candidate or permitting one’s answers to be copied by another candidate during the examination; or referencing any books, notes, written or printed materials or data of any kind, other than the examination materials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that violates the examination process, such as falsifying or misrepresenting educational credentials or other information needed for admission to the examination; impersonating an examination candidate or having an impersonator take the examination on one’s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Any examination candidate who challenges a decision of the board under this rule may request a contested case hearing. The request for hearing will be in writing, will briefly describe the basis for the challenge, and will be filed in the board’s office within 30 days of the date of the board decision that is being challenged.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193F—3.3</w:t>
      </w:r>
      <w:r>
        <w:rPr>
          <w:rFonts w:ascii="Times New Roman" w:hAnsi="Times New Roman"/>
          <w:b/>
          <w:i w:val="false"/>
          <w:color w:val="000000"/>
          <w:sz w:val="22"/>
        </w:rPr>
        <w:t xml:space="preserve">(543D) </w:t>
      </w:r>
      <w:r>
        <w:rPr>
          <w:rFonts w:ascii="Times New Roman" w:hAnsi="Times New Roman"/>
          <w:b/>
          <w:i w:val="false"/>
          <w:color w:val="000000"/>
          <w:sz w:val="22"/>
        </w:rPr>
        <w:t xml:space="preserve">Application for certification or registration. </w:t>
      </w:r>
      <w:r>
        <w:rPr>
          <w:rFonts w:ascii="Times New Roman" w:hAnsi="Times New Roman"/>
          <w:b w:val="false"/>
          <w:i w:val="false"/>
          <w:color w:val="000000"/>
          <w:sz w:val="22"/>
        </w:rPr>
        <w:t>Applicants for certification or registration have to successfully complete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initial applications for certification or associate registration will be made through the board’s online system. The board may deny an application as described in Iowa Code sections </w:t>
      </w:r>
      <w:hyperlink r:id="rId5">
        <w:r>
          <w:rPr>
            <w:rStyle w:val="Hyperlink"/>
            <w:rFonts w:ascii="Times New Roman" w:hAnsi="Times New Roman"/>
            <w:b w:val="false"/>
            <w:i w:val="false"/>
            <w:color w:val="000000"/>
            <w:sz w:val="22"/>
          </w:rPr>
          <w:t>543D.12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The board may also deny an application based on disciplinary action pending or taken against an applicant consistent with Iowa Code section </w:t>
      </w:r>
      <w:hyperlink r:id="rId7">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543D.8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12/12/95, Notice 10/25/95—published 1/3/96, effective 2/7/96]</w:t>
      </w:r>
    </w:p>
    <w:p>
      <w:pPr>
        <w:spacing w:before="0" w:after="0"/>
        <w:ind w:left="120"/>
        <w:jc w:val="center"/>
      </w:pPr>
      <w:r>
        <w:rPr>
          <w:rFonts w:ascii="Times New Roman" w:hAnsi="Times New Roman"/>
          <w:b w:val="false"/>
          <w:i w:val="false"/>
          <w:color w:val="000000"/>
          <w:sz w:val="21"/>
        </w:rPr>
        <w:t>[Filed 12/22/97, Notice 11/5/97—published 1/14/98, effective 2/18/98]</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4/22/05, Notice 3/16/05—published 5/11/05, effective 6/15/05]</w:t>
      </w:r>
    </w:p>
    <w:p>
      <w:pPr>
        <w:spacing w:before="0" w:after="0"/>
        <w:ind w:left="120"/>
        <w:jc w:val="center"/>
      </w:pPr>
      <w:r>
        <w:rPr>
          <w:rFonts w:ascii="Times New Roman" w:hAnsi="Times New Roman"/>
          <w:b w:val="false"/>
          <w:i w:val="false"/>
          <w:color w:val="000000"/>
          <w:sz w:val="21"/>
        </w:rPr>
        <w:t>[Filed 10/3/07, Notice 8/1/07—published 10/24/07, effective 11/28/07]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1731C</w:t>
      </w:r>
      <w:r>
        <w:rPr>
          <w:rFonts w:ascii="Times New Roman" w:hAnsi="Times New Roman"/>
          <w:b w:val="false"/>
          <w:i w:val="false"/>
          <w:color w:val="000000"/>
          <w:sz w:val="21"/>
        </w:rPr>
        <w:t xml:space="preserve"> (Notice ARC 1631C, IAB 9/17/14)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4379C</w:t>
      </w:r>
      <w:r>
        <w:rPr>
          <w:rFonts w:ascii="Times New Roman" w:hAnsi="Times New Roman"/>
          <w:b w:val="false"/>
          <w:i w:val="false"/>
          <w:color w:val="000000"/>
          <w:sz w:val="21"/>
        </w:rPr>
        <w:t xml:space="preserve"> (Notice ARC 4224C,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7839C</w:t>
      </w:r>
      <w:r>
        <w:rPr>
          <w:rFonts w:ascii="Times New Roman" w:hAnsi="Times New Roman"/>
          <w:b w:val="false"/>
          <w:i w:val="false"/>
          <w:color w:val="000000"/>
          <w:sz w:val="21"/>
        </w:rPr>
        <w:t xml:space="preserve"> (Notice ARC 7259C,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2.pdf" Type="http://schemas.openxmlformats.org/officeDocument/2006/relationships/hyperlink" Id="rId5"/>
    <Relationship TargetMode="External" Target="https://www.legis.iowa.gov/docs/ico/chapter/543D.17.pdf" Type="http://schemas.openxmlformats.org/officeDocument/2006/relationships/hyperlink" Id="rId6"/>
    <Relationship TargetMode="External" Target="https://www.legis.iowa.gov/docs/ico/chapter/272C.12.pdf" Type="http://schemas.openxmlformats.org/officeDocument/2006/relationships/hyperlink" Id="rId7"/>
    <Relationship TargetMode="External" Target="https://www.legis.iowa.gov/docs/ico/chapter/543D.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