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LICENSURE OF PERSONS LICENSED IN OTHER JURISDICTIONS</w:t>
      </w:r>
    </w:p>
    <w:p>
      <w:pPr>
        <w:spacing w:before="0" w:after="0"/>
        <w:ind w:left="120"/>
        <w:jc w:val="center"/>
      </w:pPr>
      <w:r>
        <w:rPr>
          <w:rFonts w:ascii="Times New Roman" w:hAnsi="Times New Roman"/>
          <w:b w:val="false"/>
          <w:i w:val="false"/>
          <w:color w:val="000000"/>
          <w:sz w:val="14"/>
        </w:rPr>
        <w:t>[Prior to 4/17/24, see 193F—Chapter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193F—13.1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“Issuing jurisdiction” </w:t>
      </w:r>
      <w:r>
        <w:rPr>
          <w:rFonts w:ascii="Times New Roman" w:hAnsi="Times New Roman"/>
          <w:b w:val="false"/>
          <w:i w:val="false"/>
          <w:color w:val="000000"/>
          <w:sz w:val="22"/>
        </w:rPr>
        <w:t>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any license that may be granted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193F—13.2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An individual who establishes residency in this state or who is married to an active duty member of the military forces of the United States and who is accompanying the member on an official permanent change of station to a military installation located in this state may apply for licensure under this rule on forms provided by the board. A certification or registration will be issued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certified, or registered by at least one other issuing jurisdiction in the profession or occupation applied for with a substantially similar scope of practice and is in good standing in all issuing jurisdictions in which the person holds a license, certificate, or registration. A license, certificate, or registration issued by another jurisdiction that is classified as a licensed residential real property credential or with a scope of practice of a licensed residential real property appraiser, as defined by the AQB criteria, other applicable federal law, rule, or policy, will not be considered a profession or occupation with a substantially similar scope of practice as it relates to a certification or registration as an associate real property appraiser, certified residential real property appraiser, or a certified general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the other issuing jurisdiction forming the basis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other issuing jurisdiction forming the basis of the application, the issuing jurisdiction imposed minimum educational and experience obligations, and the issuing jurisdiction verifies that the person met those obligations in order to be licensed in that issuing jurisdiction. Generally, given federal mandates, the minimum educational and experience obligations to become certified as a real estate appraiser are substantially the same nationwide within the applicable classification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AQB-approved examination by the other issuing jurisdiction for licensure,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certificate, or registration revoked and has not voluntarily surrendered a license, certificate, or registration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appropriate licensing board shall determine if the cause for the action was corrected and the matter resolved. If the licensing board determines that the matter has not been resolved by the jurisdiction imposing discipline, the licensing board will not issue or deny a license, certificate, or registration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appropriate licensing board shall not issue or deny a license, certificate, or registration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 The fees for applying for licensure under this rule will be the same as the fees for reciprocal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licensure under this rule will provide, as applicable, proof of current residency in the state of Iowa or proof of the military member’s official permanent change of station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residency may include, by way of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Residential mortgage, lease,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Utility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Paycheck or pay stub;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Property tax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federal or state government document;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document that reliably confirms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permanent change of station to the state of Iowa includes documentation issued by the appropriate branch of the military requiring a permanent change of station or otherwise indicating or demonstrating a permanent change of station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In order to be considered a sufficient application, an application for licensure under this rule must include all appropriate information as required by this rule and, if applicable, the submission of fingerprints and an appropriate authorization of release as may be necessary to facilitate the board’s completion of a criminal history check and any corresponding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A person issued a license under this rule is subject to the jurisdiction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board’s decision to deny an application for a license under this rule may request a contested case hearing. A request for such a contested case hearing will be granted only if the board receives the request within 30 days of issuance of the board’s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2019 Iowa Acts, House File 288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7865C</w:t>
      </w:r>
      <w:r>
        <w:rPr>
          <w:rFonts w:ascii="Times New Roman" w:hAnsi="Times New Roman"/>
          <w:b w:val="false"/>
          <w:i w:val="false"/>
          <w:color w:val="000000"/>
          <w:sz w:val="21"/>
        </w:rPr>
        <w:t xml:space="preserve"> (Notice ARC 7275C,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27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