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4/17/24, see 193F—Chapter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193F—10.1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means a continuing education program, course, or activity that satisfies the standards set forth in these rules and has received advance board approval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provider” </w:t>
      </w:r>
      <w:r>
        <w:rPr>
          <w:rFonts w:ascii="Times New Roman" w:hAnsi="Times New Roman"/>
          <w:b w:val="false"/>
          <w:i w:val="false"/>
          <w:color w:val="000000"/>
          <w:sz w:val="22"/>
        </w:rPr>
        <w:t>means a person or an organization that has been approved by the board to conduct continuing education programs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w:t>
      </w:r>
      <w:r>
        <w:rPr>
          <w:rFonts w:ascii="Times New Roman" w:hAnsi="Times New Roman"/>
          <w:b w:val="false"/>
          <w:i w:val="false"/>
          <w:color w:val="000000"/>
          <w:sz w:val="22"/>
        </w:rPr>
        <w:t>means that the instructor and student interact in an educational offering in which the student progresses at the student’s own pace through structured course content and scheduled quizzes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543D.2(7)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education that is obtained by a person certified to practice real estate appraising in order to maintain, improve, or expand skills and knowledge obtained prior to initial certification or registration, or to develop new and relevant skills and knowledge, all as a condition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hour” </w:t>
      </w:r>
      <w:r>
        <w:rPr>
          <w:rFonts w:ascii="Times New Roman" w:hAnsi="Times New Roman"/>
          <w:b w:val="false"/>
          <w:i w:val="false"/>
          <w:color w:val="000000"/>
          <w:sz w:val="22"/>
        </w:rPr>
        <w:t>means the value assigned by the board, or the AQB, to a continuing or qualifying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education” </w:t>
      </w:r>
      <w:r>
        <w:rPr>
          <w:rFonts w:ascii="Times New Roman" w:hAnsi="Times New Roman"/>
          <w:b w:val="false"/>
          <w:i w:val="false"/>
          <w:color w:val="000000"/>
          <w:sz w:val="22"/>
        </w:rPr>
        <w:t>means any education process based on the geographical separation of student and instructor. “Distance education” includes asynchronous, synchronous, and hybrid educational offerings.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speaker” </w:t>
      </w:r>
      <w:r>
        <w:rPr>
          <w:rFonts w:ascii="Times New Roman" w:hAnsi="Times New Roman"/>
          <w:b w:val="false"/>
          <w:i w:val="false"/>
          <w:color w:val="000000"/>
          <w:sz w:val="22"/>
        </w:rPr>
        <w:t>means an individual who teaches an appraisal education program on a one-time-only or very limited basis and who possesses a unique depth of knowledge and experience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“Hybrid,” </w:t>
      </w:r>
      <w:r>
        <w:rPr>
          <w:rFonts w:ascii="Times New Roman" w:hAnsi="Times New Roman"/>
          <w:b w:val="false"/>
          <w:i w:val="false"/>
          <w:color w:val="000000"/>
          <w:sz w:val="22"/>
        </w:rPr>
        <w:t>also known as a blended course, means a learning environment that allows for both in-person and online (synchronous or asynchronous)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 instruction” </w:t>
      </w:r>
      <w:r>
        <w:rPr>
          <w:rFonts w:ascii="Times New Roman" w:hAnsi="Times New Roman"/>
          <w:b w:val="false"/>
          <w:i w:val="false"/>
          <w:color w:val="000000"/>
          <w:sz w:val="22"/>
        </w:rPr>
        <w:t>means an educational program delivered in a classroom setting where both the student and the instructor are present in the same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education” </w:t>
      </w:r>
      <w:r>
        <w:rPr>
          <w:rFonts w:ascii="Times New Roman" w:hAnsi="Times New Roman"/>
          <w:b w:val="false"/>
          <w:i w:val="false"/>
          <w:color w:val="000000"/>
          <w:sz w:val="22"/>
        </w:rPr>
        <w:t>means education that is obtained by a person seeking certification as a real property appraiser prior to initial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“Synchronous” </w:t>
      </w:r>
      <w:r>
        <w:rPr>
          <w:rFonts w:ascii="Times New Roman" w:hAnsi="Times New Roman"/>
          <w:b w:val="false"/>
          <w:i w:val="false"/>
          <w:color w:val="000000"/>
          <w:sz w:val="22"/>
        </w:rPr>
        <w:t>means that in an educational offering the instructor and student interact online simultaneously, as in a phone call, video chat or live webinar, or web-based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Continuing education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Board-licensed appraisers have to demonstrate compliance with the continuing education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credit hours may be acquired in approved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val="false"/>
          <w:color w:val="000000"/>
          <w:sz w:val="22"/>
        </w:rPr>
        <w:t>Instructors claiming continuing education credit may be requested to provide supporting documentation to ascertain course content and related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renew an initial license issued less than 185 days prior to renewal is not obligated to report any continuing education. An applicant seeking to renew an initial certificate or registration issued for 185 days to 365 days prior to renewal has to demonstrate completion of at least 14 credit hours, including the National USPAP continuing education course or its AQB equivalent. An applicant seeking to renew an initial certificate or registration issued 365 days prior to renewal or more has to demonstrate completion of at least 28 credit hours, including seven credit hours of the most recent National USPAP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val="false"/>
          <w:color w:val="000000"/>
          <w:sz w:val="22"/>
        </w:rPr>
        <w:t>Prior to reinstatement or reactivation of a certified general or residential registration, a licensee in inactive, retired, or lapsed status has to complete all continuing education hours that would have been needed if the licensee was in active status. The hours will also include the most recent edition of a National USPAP Update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val="false"/>
          <w:color w:val="000000"/>
          <w:sz w:val="22"/>
        </w:rPr>
        <w:t>During each two-year renewal period, a continuing education program may be taken for credit only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val="false"/>
          <w:color w:val="000000"/>
          <w:sz w:val="22"/>
        </w:rPr>
        <w:t>At least 50 minutes of every class hour have to be attended by the student to count as an hour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w:t>
      </w:r>
      <w:r>
        <w:rPr>
          <w:rFonts w:ascii="Times New Roman" w:hAnsi="Times New Roman"/>
          <w:b w:val="false"/>
          <w:i w:val="false"/>
          <w:color w:val="000000"/>
          <w:sz w:val="22"/>
        </w:rPr>
        <w:t> </w:t>
      </w:r>
      <w:r>
        <w:rPr>
          <w:rFonts w:ascii="Times New Roman" w:hAnsi="Times New Roman"/>
          <w:b w:val="false"/>
          <w:i w:val="false"/>
          <w:color w:val="000000"/>
          <w:sz w:val="22"/>
        </w:rPr>
        <w:t>An applicant may claim continuing education credits that have been approved by another jurisdiction that has a continuing education obligation for license renewal in that jurisdiction if the applicable program was approved by the other jurisdiction’s appraisal regulatory body or the AQB for continuing education purposes at the time the applicant completed the course. The burden of proof in this regard is on the applicant. All other programs have to be approved upon application to the board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w:t>
      </w:r>
      <w:r>
        <w:rPr>
          <w:rFonts w:ascii="Times New Roman" w:hAnsi="Times New Roman"/>
          <w:b w:val="false"/>
          <w:i w:val="false"/>
          <w:color w:val="000000"/>
          <w:sz w:val="22"/>
        </w:rPr>
        <w:t> </w:t>
      </w:r>
      <w:r>
        <w:rPr>
          <w:rFonts w:ascii="Times New Roman" w:hAnsi="Times New Roman"/>
          <w:b w:val="false"/>
          <w:i w:val="false"/>
          <w:color w:val="000000"/>
          <w:sz w:val="22"/>
        </w:rPr>
        <w:t>A person certified or registered to practice real estate appraising in Iowa will be deemed to have complied with Iowa’s continuing education obligation for periods in which the person is a resident of another state or district having continuing education obligations for real estate appraising and meets all obligations of that state or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w:t>
      </w:r>
      <w:r>
        <w:rPr>
          <w:rFonts w:ascii="Times New Roman" w:hAnsi="Times New Roman"/>
          <w:b w:val="false"/>
          <w:i w:val="false"/>
          <w:color w:val="000000"/>
          <w:sz w:val="22"/>
        </w:rPr>
        <w:t> </w:t>
      </w:r>
      <w:r>
        <w:rPr>
          <w:rFonts w:ascii="Times New Roman" w:hAnsi="Times New Roman"/>
          <w:b w:val="false"/>
          <w:i w:val="false"/>
          <w:color w:val="000000"/>
          <w:sz w:val="22"/>
        </w:rPr>
        <w:t>A person certified or registered to practice real estate appraising in Iowa who completes an education course approved by both the board and another appraiser regulatory body, for which the approved hours vary, will only be allowed to claim the hours approved by the board to meet the obligations of renewal of the person’s associate registration or certified credential in Iowa. A person certified or registered to practice real estate appraising in Iowa who completes an educational course not approved in Iowa, but approved by either the AQB or by another appraiser regulatory body, may claim the hours awarded by either the AQB or the appraiser regulatory body of the other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Minimum program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The board will only approve continuing education programs that provide a formal program of learning that contributes to the growth in the professional knowledge and professional competence of real estate appraisers.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Continuing education programs as listed in the AQB criteria are accepted by the board, as well as the following appraisal topics, which the board has determined are integrally related to appraisal topics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Agriculture production and economics;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Agronomy/soil;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Real estate appraisal technology (e.g., drones).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will not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promotion meetings held in conjunction with the appraiser’s general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devoted to breakfast, lunch, or dinner;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certified by the use of a challenge examination. The number of hours will be completed to receive credit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Programs that do not provide at least two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will be granted only for whole hours, with a minimum of 50 minutes constituting one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approved for university or college courses, when an official transcript is provided, in qualifying topics according to the following formula: Each semester hour of credit will equal 15 credit hours and each quarter hour of credit will equal 10 credit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Standards for provider and program approval. </w:t>
      </w:r>
      <w:r>
        <w:rPr>
          <w:rFonts w:ascii="Times New Roman" w:hAnsi="Times New Roman"/>
          <w:b w:val="false"/>
          <w:i w:val="false"/>
          <w:color w:val="000000"/>
          <w:sz w:val="22"/>
        </w:rPr>
        <w:t>Providers and programs will satisfy the following minimum standards in order to be preapproved in accordance with the procedures established in this chapter and in order to maintain approved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The program will be taught or developed by individuals who have the education, training and experience to be considered experts in the subject matter of the program and competent in the use of teaching methods appropriate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Programs will be taught by instructors who have successfully completed an instructor development workshop within 24 months preceding board approval of the program. Certified USPAP instructors and instructors approved via a course delivery mechanism approval per the AQB criteria will be considered to have met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an instructor is qualified to teach a particular program, the board will consider whether the instructor has an ability to teach and an in-depth knowledge of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An instructor may demonstrate the ability to teach by meeting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in education from an accredited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current teaching credential or certificate in any real estate or real estate-related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certificate of completion in the area of instruction from an instructor institute, workshop or school that is sponsored by a member of the Appraisal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 a full-time current appointment to the faculty of an accredited college;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as the board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An instructor may demonstrate in-depth knowledge of the program’s subject matter by meeting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from an accredited college with a major in a field of study directly related to the subject matter of the course the instructor proposes to teach, such as business, economics, accounting, real estate or finance;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from an accredited college and have five years of appraisal experience related to the subject matter of the course the instructor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generally recognized professional real property appraisal designation or be a sponsor member of the Appraisal Foundation;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as the board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val="false"/>
          <w:color w:val="000000"/>
          <w:sz w:val="22"/>
        </w:rPr>
        <w:t>Only AQB-certified USPAP instructors, listed on the website of the Appraisal Foundation may teach the National USPAP courses, or the AQB-approved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w:t>
      </w:r>
      <w:r>
        <w:rPr>
          <w:rFonts w:ascii="Times New Roman" w:hAnsi="Times New Roman"/>
          <w:b w:val="false"/>
          <w:i w:val="false"/>
          <w:color w:val="000000"/>
          <w:sz w:val="22"/>
        </w:rPr>
        <w:t> </w:t>
      </w:r>
      <w:r>
        <w:rPr>
          <w:rFonts w:ascii="Times New Roman" w:hAnsi="Times New Roman"/>
          <w:b w:val="false"/>
          <w:i w:val="false"/>
          <w:color w:val="000000"/>
          <w:sz w:val="22"/>
        </w:rPr>
        <w:t>Course content and materials will be accurate, consistent with currently accepted standards relating to the program’s subject matter and updated no later than 30 days after the effective date of a change in standards, laws,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w:t>
      </w:r>
      <w:r>
        <w:rPr>
          <w:rFonts w:ascii="Times New Roman" w:hAnsi="Times New Roman"/>
          <w:b w:val="false"/>
          <w:i w:val="false"/>
          <w:color w:val="000000"/>
          <w:sz w:val="22"/>
        </w:rPr>
        <w:t> </w:t>
      </w:r>
      <w:r>
        <w:rPr>
          <w:rFonts w:ascii="Times New Roman" w:hAnsi="Times New Roman"/>
          <w:b w:val="false"/>
          <w:i w:val="false"/>
          <w:color w:val="000000"/>
          <w:sz w:val="22"/>
        </w:rPr>
        <w:t>Programs will have an appropriate means of written evaluation by participants. Evaluations will include the relevance of the materials, effectiveness of presentation, content, facilities, and such additional features as are appropriate to the nature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w:t>
      </w:r>
      <w:r>
        <w:rPr>
          <w:rFonts w:ascii="Times New Roman" w:hAnsi="Times New Roman"/>
          <w:b w:val="false"/>
          <w:i w:val="false"/>
          <w:color w:val="000000"/>
          <w:sz w:val="22"/>
        </w:rPr>
        <w:t> </w:t>
      </w:r>
      <w:r>
        <w:rPr>
          <w:rFonts w:ascii="Times New Roman" w:hAnsi="Times New Roman"/>
          <w:b w:val="false"/>
          <w:i w:val="false"/>
          <w:color w:val="000000"/>
          <w:sz w:val="22"/>
        </w:rPr>
        <w:t>No part of any course will be used to solicit memberships in organizations, recruit appraisers for affiliation with any organization or advertise the merits of any organization or sell any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10.4(10)</w:t>
      </w:r>
      <w:r>
        <w:rPr>
          <w:rFonts w:ascii="Times New Roman" w:hAnsi="Times New Roman"/>
          <w:b w:val="false"/>
          <w:i w:val="false"/>
          <w:color w:val="000000"/>
          <w:sz w:val="22"/>
        </w:rPr>
        <w:t> </w:t>
      </w:r>
      <w:r>
        <w:rPr>
          <w:rFonts w:ascii="Times New Roman" w:hAnsi="Times New Roman"/>
          <w:b w:val="false"/>
          <w:i w:val="false"/>
          <w:color w:val="000000"/>
          <w:sz w:val="22"/>
        </w:rPr>
        <w:t>Providers will clearly inform prospective participants of the number of credit hours preapproved by the board for each program and all applicable policies concerning registration, payment, refunds, attendance obligations, and examination 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10.4(11)</w:t>
      </w:r>
      <w:r>
        <w:rPr>
          <w:rFonts w:ascii="Times New Roman" w:hAnsi="Times New Roman"/>
          <w:b w:val="false"/>
          <w:i w:val="false"/>
          <w:color w:val="000000"/>
          <w:sz w:val="22"/>
        </w:rPr>
        <w:t> </w:t>
      </w:r>
      <w:r>
        <w:rPr>
          <w:rFonts w:ascii="Times New Roman" w:hAnsi="Times New Roman"/>
          <w:b w:val="false"/>
          <w:i w:val="false"/>
          <w:color w:val="000000"/>
          <w:sz w:val="22"/>
        </w:rPr>
        <w:t>Procedures will be in place to monitor whether the person receiving credit hours is the person who attended or completed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10.4(12)</w:t>
      </w:r>
      <w:r>
        <w:rPr>
          <w:rFonts w:ascii="Times New Roman" w:hAnsi="Times New Roman"/>
          <w:b w:val="false"/>
          <w:i w:val="false"/>
          <w:color w:val="000000"/>
          <w:sz w:val="22"/>
        </w:rPr>
        <w:t> </w:t>
      </w:r>
      <w:r>
        <w:rPr>
          <w:rFonts w:ascii="Times New Roman" w:hAnsi="Times New Roman"/>
          <w:b w:val="false"/>
          <w:i w:val="false"/>
          <w:color w:val="000000"/>
          <w:sz w:val="22"/>
        </w:rPr>
        <w:t>Providers will be accessible to students during normal business hours to answer questions and provide assistance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will comply with or demonstrate exemption from the provisions of Iowa Code sections </w:t>
      </w:r>
      <w:hyperlink r:id="rId6">
        <w:r>
          <w:rPr>
            <w:rStyle w:val="Hyperlink"/>
            <w:rFonts w:ascii="Times New Roman" w:hAnsi="Times New Roman"/>
            <w:b w:val="false"/>
            <w:i w:val="false"/>
            <w:color w:val="000000"/>
            <w:sz w:val="22"/>
          </w:rPr>
          <w:t>714.14 to 714.25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10.4(14)</w:t>
      </w:r>
      <w:r>
        <w:rPr>
          <w:rFonts w:ascii="Times New Roman" w:hAnsi="Times New Roman"/>
          <w:b w:val="false"/>
          <w:i w:val="false"/>
          <w:color w:val="000000"/>
          <w:sz w:val="22"/>
        </w:rPr>
        <w:t> </w:t>
      </w:r>
      <w:r>
        <w:rPr>
          <w:rFonts w:ascii="Times New Roman" w:hAnsi="Times New Roman"/>
          <w:b w:val="false"/>
          <w:i w:val="false"/>
          <w:color w:val="000000"/>
          <w:sz w:val="22"/>
        </w:rPr>
        <w:t>Providers will designate a coordinator in charge of each program who will act as the board’s contact on all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10.4(15)</w:t>
      </w:r>
      <w:r>
        <w:rPr>
          <w:rFonts w:ascii="Times New Roman" w:hAnsi="Times New Roman"/>
          <w:b w:val="false"/>
          <w:i w:val="false"/>
          <w:color w:val="000000"/>
          <w:sz w:val="22"/>
        </w:rPr>
        <w:t> </w:t>
      </w:r>
      <w:r>
        <w:rPr>
          <w:rFonts w:ascii="Times New Roman" w:hAnsi="Times New Roman"/>
          <w:b w:val="false"/>
          <w:i w:val="false"/>
          <w:color w:val="000000"/>
          <w:sz w:val="22"/>
        </w:rPr>
        <w:t>Programs will not offer more than eight credit hours in a single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10.4(16)</w:t>
      </w:r>
      <w:r>
        <w:rPr>
          <w:rFonts w:ascii="Times New Roman" w:hAnsi="Times New Roman"/>
          <w:b w:val="false"/>
          <w:i w:val="false"/>
          <w:color w:val="000000"/>
          <w:sz w:val="22"/>
        </w:rPr>
        <w:t> </w:t>
      </w:r>
      <w:r>
        <w:rPr>
          <w:rFonts w:ascii="Times New Roman" w:hAnsi="Times New Roman"/>
          <w:b w:val="false"/>
          <w:i w:val="false"/>
          <w:color w:val="000000"/>
          <w:sz w:val="22"/>
        </w:rPr>
        <w:t>Providers will not provide any information to the board, the public, or prospective students that is misleading in nature. For example, providers will not refer to themselves as a “college” or “university” unless qualified as such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10.4(17)</w:t>
      </w:r>
      <w:r>
        <w:rPr>
          <w:rFonts w:ascii="Times New Roman" w:hAnsi="Times New Roman"/>
          <w:b w:val="false"/>
          <w:i w:val="false"/>
          <w:color w:val="000000"/>
          <w:sz w:val="22"/>
        </w:rPr>
        <w:t> </w:t>
      </w:r>
      <w:r>
        <w:rPr>
          <w:rFonts w:ascii="Times New Roman" w:hAnsi="Times New Roman"/>
          <w:b w:val="false"/>
          <w:i w:val="false"/>
          <w:color w:val="000000"/>
          <w:sz w:val="22"/>
        </w:rPr>
        <w:t>Providers will establish and maintain for a period of five years complete and detailed records on the programs successfully attended by each Iowa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10.4(18)</w:t>
      </w:r>
      <w:r>
        <w:rPr>
          <w:rFonts w:ascii="Times New Roman" w:hAnsi="Times New Roman"/>
          <w:b w:val="false"/>
          <w:i w:val="false"/>
          <w:color w:val="000000"/>
          <w:sz w:val="22"/>
        </w:rPr>
        <w:t> </w:t>
      </w:r>
      <w:r>
        <w:rPr>
          <w:rFonts w:ascii="Times New Roman" w:hAnsi="Times New Roman"/>
          <w:b w:val="false"/>
          <w:i w:val="false"/>
          <w:color w:val="000000"/>
          <w:sz w:val="22"/>
        </w:rPr>
        <w:t>Providers will issue an individual certificate of attendance to each participant upon successful completion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10.4(19)</w:t>
      </w:r>
      <w:r>
        <w:rPr>
          <w:rFonts w:ascii="Times New Roman" w:hAnsi="Times New Roman"/>
          <w:b w:val="false"/>
          <w:i w:val="false"/>
          <w:color w:val="000000"/>
          <w:sz w:val="22"/>
        </w:rPr>
        <w:t> </w:t>
      </w:r>
      <w:r>
        <w:rPr>
          <w:rFonts w:ascii="Times New Roman" w:hAnsi="Times New Roman"/>
          <w:b w:val="false"/>
          <w:i w:val="false"/>
          <w:color w:val="000000"/>
          <w:sz w:val="22"/>
        </w:rPr>
        <w:t>Program providers and instructors are solely responsible for the accuracy of all program materials, instruction, and examinations. Board approval of a provider or program is not an assurance or warranty of accuracy and will not be explicitly or implicitly marketed or advertised as such.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10.4(20)</w:t>
      </w:r>
      <w:r>
        <w:rPr>
          <w:rFonts w:ascii="Times New Roman" w:hAnsi="Times New Roman"/>
          <w:b w:val="false"/>
          <w:i w:val="false"/>
          <w:color w:val="000000"/>
          <w:sz w:val="22"/>
        </w:rPr>
        <w:t> </w:t>
      </w:r>
      <w:r>
        <w:rPr>
          <w:rFonts w:ascii="Times New Roman" w:hAnsi="Times New Roman"/>
          <w:b w:val="false"/>
          <w:i w:val="false"/>
          <w:color w:val="000000"/>
          <w:sz w:val="22"/>
        </w:rPr>
        <w:t>Providers will apply for approval using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10.4(21)</w:t>
      </w:r>
      <w:r>
        <w:rPr>
          <w:rFonts w:ascii="Times New Roman" w:hAnsi="Times New Roman"/>
          <w:b w:val="false"/>
          <w:i w:val="false"/>
          <w:color w:val="000000"/>
          <w:sz w:val="22"/>
        </w:rPr>
        <w:t> </w:t>
      </w:r>
      <w:r>
        <w:rPr>
          <w:rFonts w:ascii="Times New Roman" w:hAnsi="Times New Roman"/>
          <w:b w:val="false"/>
          <w:i w:val="false"/>
          <w:color w:val="000000"/>
          <w:sz w:val="22"/>
        </w:rPr>
        <w:t>Providers will notify the board within 30 days of a change in the provider’s primary contact, name, business address, or any other change that may affect the provider’s tax identification number or bond obligations with the Iowa college aid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Acceptable distance education courses. </w:t>
      </w:r>
      <w:r>
        <w:rPr>
          <w:rFonts w:ascii="Times New Roman" w:hAnsi="Times New Roman"/>
          <w:b w:val="false"/>
          <w:i w:val="false"/>
          <w:color w:val="000000"/>
          <w:sz w:val="22"/>
        </w:rPr>
        <w:t>Distance education involves geographical separation of student and instructor. A distance education course is acceptable to meet class hour obligations if it complies with the generic education criteria in the current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Applications for approval of programs. </w:t>
      </w:r>
      <w:r>
        <w:rPr>
          <w:rFonts w:ascii="Times New Roman" w:hAnsi="Times New Roman"/>
          <w:b w:val="false"/>
          <w:i w:val="false"/>
          <w:color w:val="000000"/>
          <w:sz w:val="22"/>
        </w:rPr>
        <w:t>Applications for approval of programs will be submitted through the board’s online system. All non-AQB courses are approved for 24 months, including the month of approval. Programs approved for distance education or by the AQB may be approved by the board. Board approval of a program will only be valid for the shortest period of time such a program is approved by either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Approval will be obtained for each program separately. With the exception of hybrid courses, courses that are offered via more than one delivery method will require separate program approvals.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$50 will be submitted for each program except for programs that are submitted for approval by the primary provider and that have been approved by the AQB through the AQB Course Approval Program (CAP).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All online applications and attachments will be submitted for approval at least 30 days prior to the first offering of each program or, if renewing, within 30 days of the course expiration date. The board will approve or deny each program, in whole or part, within 15 days of the date the board receives a fully completed application. Upon approval of an application for course offering, the board will specify the number of credit hours allowed. Payments for course program applications will be made within 30 calendar days of board approval or the application approval may be reversed.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Applications for non-AQB CAP courses will request information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Learning objectives that specify the level of knowledge or competency the student should demonstrate upon completing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instructional methods utilized to accomplish the learning objective;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for all guest speakers or instructors and such documentation as is necessary to verify compliance with the instructor qualifications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instructor and student program materials or, in the case of a one-time course offering, a statement that attests all instructor and student materials will be submitted to the board within ten calendar days of the course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examinations and a description of all grading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diagnostic assessment method(s) used when examinations are not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Such information as needed to verify compliance with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for the program’s coordinator;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the board deems reasonably needed for informed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val="false"/>
          <w:color w:val="000000"/>
          <w:sz w:val="22"/>
        </w:rPr>
        <w:t>Application forms for courses that are AQB CAP-approved will include information as deemed necessary for accurate documentation but may be more limited than information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w:t>
      </w:r>
      <w:r>
        <w:rPr>
          <w:rFonts w:ascii="Times New Roman" w:hAnsi="Times New Roman"/>
          <w:b w:val="false"/>
          <w:i w:val="false"/>
          <w:color w:val="000000"/>
          <w:sz w:val="22"/>
        </w:rPr>
        <w:t> </w:t>
      </w:r>
      <w:r>
        <w:rPr>
          <w:rFonts w:ascii="Times New Roman" w:hAnsi="Times New Roman"/>
          <w:b w:val="false"/>
          <w:i w:val="false"/>
          <w:color w:val="000000"/>
          <w:sz w:val="22"/>
        </w:rPr>
        <w:t>The board will assign each provider and program a number. This number will be placed on all correspondence with the board, all subsequent applications by the same provider, and all certificates of attendance issued to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193F—10.7</w:t>
      </w:r>
      <w:r>
        <w:rPr>
          <w:rFonts w:ascii="Times New Roman" w:hAnsi="Times New Roman"/>
          <w:b/>
          <w:i w:val="false"/>
          <w:color w:val="000000"/>
          <w:sz w:val="22"/>
        </w:rPr>
        <w:t xml:space="preserve">(272C,543D) </w:t>
      </w:r>
      <w:r>
        <w:rPr>
          <w:rFonts w:ascii="Times New Roman" w:hAnsi="Times New Roman"/>
          <w:b/>
          <w:i w:val="false"/>
          <w:color w:val="000000"/>
          <w:sz w:val="22"/>
        </w:rPr>
        <w:t xml:space="preserve">Waiver of application fees. </w:t>
      </w:r>
      <w:r>
        <w:rPr>
          <w:rFonts w:ascii="Times New Roman" w:hAnsi="Times New Roman"/>
          <w:b w:val="false"/>
          <w:i w:val="false"/>
          <w:color w:val="000000"/>
          <w:sz w:val="22"/>
        </w:rPr>
        <w:t>Application fees may be waived for approved programs sponsored by a governmental entity when the program is offered at no cost or at a nominal cost to participants. A request for waiver of application fees should be made by the provider or certificate holder at the time the application is filed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193F—10.8</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Authority to approve education. </w:t>
      </w:r>
      <w:r>
        <w:rPr>
          <w:rFonts w:ascii="Times New Roman" w:hAnsi="Times New Roman"/>
          <w:b w:val="false"/>
          <w:i w:val="false"/>
          <w:color w:val="000000"/>
          <w:sz w:val="22"/>
        </w:rPr>
        <w:t>The executive officer has the authority to approve or deny education applications subject to the applicant’s right to a hearing as provided for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193F—10.9</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Appraiser request for preapproval of continuing education programs. </w:t>
      </w:r>
      <w:r>
        <w:rPr>
          <w:rFonts w:ascii="Times New Roman" w:hAnsi="Times New Roman"/>
          <w:b w:val="false"/>
          <w:i w:val="false"/>
          <w:color w:val="000000"/>
          <w:sz w:val="22"/>
        </w:rPr>
        <w:t>An appraiser seeking credit for attendance and participation in a program that is to be conducted by a provider not accredited or otherwise approved by the board will apply for approval to the board at least 15 days in advance of the commencement of the activity. The board will approve or deny the application in writing. The online application for prior approval of a continuing education activity will include the following fee and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fee of $25;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firm, organization or person conducting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and hour-by-hour outline of the program, course or activity;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 of program;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Principal instructor(s).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193F—10.10</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Appraiser request for postapproval of continuing education program. </w:t>
      </w:r>
      <w:r>
        <w:rPr>
          <w:rFonts w:ascii="Times New Roman" w:hAnsi="Times New Roman"/>
          <w:b w:val="false"/>
          <w:i w:val="false"/>
          <w:color w:val="000000"/>
          <w:sz w:val="22"/>
        </w:rPr>
        <w:t>An appraiser seeking credit for attendance and participation in a program that was not conducted by an approved provider or approved by the licensing authority in another state or otherwise approved by the board may submit a request for credit for the program. Within 15 days after receipt of the request, the board will advise the requester in writing whether the program is approved and the number of hours allowed. Appraisers not complying with the obligation of this rule may be denied credit for the program. Application for postapproval of a continuing education program will include the following fee and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fee of $25;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firm, organization or person conducting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of program and description of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Date(s) of program;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Student and instructor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Principal instructor(s);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193F—10.11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Review of provider or program. </w:t>
      </w:r>
      <w:r>
        <w:rPr>
          <w:rFonts w:ascii="Times New Roman" w:hAnsi="Times New Roman"/>
          <w:b w:val="false"/>
          <w:i w:val="false"/>
          <w:color w:val="000000"/>
          <w:sz w:val="22"/>
        </w:rPr>
        <w:t>The board on its own motion or upon receipt of a complaint or negative evaluation may monitor or review any approved program or provider and may withdraw approval of the provider or program and disallow all or any part of the approved hours granted to the provider based on evidence that the obligations of this chapter have not been met. The provider, as a condition of approval, agrees to allow the board or its authorized representatives to monitor ongoing compliance with board rules through means including, but not limited to, unannounced attendance at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193F—10.12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Hearings. </w:t>
      </w:r>
      <w:r>
        <w:rPr>
          <w:rFonts w:ascii="Times New Roman" w:hAnsi="Times New Roman"/>
          <w:b w:val="false"/>
          <w:i w:val="false"/>
          <w:color w:val="000000"/>
          <w:sz w:val="22"/>
        </w:rPr>
        <w:t>Any person aggrieved by board action related to this chapter may request a contested case hearing before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543D.16</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7847C</w:t>
      </w:r>
      <w:r>
        <w:rPr>
          <w:rFonts w:ascii="Times New Roman" w:hAnsi="Times New Roman"/>
          <w:b w:val="false"/>
          <w:i w:val="false"/>
          <w:color w:val="000000"/>
          <w:sz w:val="21"/>
        </w:rPr>
        <w:t xml:space="preserve"> (Notice ARC 7267C,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2.pdf" Type="http://schemas.openxmlformats.org/officeDocument/2006/relationships/hyperlink" Id="rId5"/>
    <Relationship TargetMode="External" Target="https://www.legis.iowa.gov/docs/ico/chapter/714.14-25.pdf" Type="http://schemas.openxmlformats.org/officeDocument/2006/relationships/hyperlink" Id="rId6"/>
    <Relationship TargetMode="External" Target="https://www.legis.iowa.gov/docs/ico/chapter/543D.5.pdf" Type="http://schemas.openxmlformats.org/officeDocument/2006/relationships/hyperlink" Id="rId7"/>
    <Relationship TargetMode="External" Target="https://www.legis.iowa.gov/docs/ico/chapter/543D.9.pdf" Type="http://schemas.openxmlformats.org/officeDocument/2006/relationships/hyperlink" Id="rId8"/>
    <Relationship TargetMode="External" Target="https://www.legis.iowa.gov/docs/ico/chapter/543D.16.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