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2/20/02, see 193F—Chapters 2, 9 and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193F—1.1</w:t>
      </w:r>
      <w:r>
        <w:rPr>
          <w:rFonts w:ascii="Times New Roman" w:hAnsi="Times New Roman"/>
          <w:b/>
          <w:i w:val="false"/>
          <w:color w:val="000000"/>
          <w:sz w:val="22"/>
        </w:rPr>
        <w:t xml:space="preserve">(543D)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real estate appraiser examining board is to administer and enforce the provisions of 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with regard to the appraisal of real property in the state of Iowa, examination of candidates, issuance of licenses, investigation of alleged violations by licensees, and discipline of those regulated by the board. Through its actions, the board seeks to promote and maintain a high level of public trust in professional appraisal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The board maintains an office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action under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will be taken under the supervision of the director, as provided in Iowa Code section </w:t>
      </w:r>
      <w:hyperlink r:id="rId7">
        <w:r>
          <w:rPr>
            <w:rStyle w:val="Hyperlink"/>
            <w:rFonts w:ascii="Times New Roman" w:hAnsi="Times New Roman"/>
            <w:b w:val="false"/>
            <w:i w:val="false"/>
            <w:color w:val="000000"/>
            <w:sz w:val="22"/>
          </w:rPr>
          <w:t>543D.23</w:t>
        </w:r>
      </w:hyperlink>
      <w:r>
        <w:rPr>
          <w:rFonts w:ascii="Times New Roman" w:hAnsi="Times New Roman"/>
          <w:b w:val="false"/>
          <w:i w:val="false"/>
          <w:color w:val="000000"/>
          <w:sz w:val="22"/>
        </w:rPr>
        <w:t xml:space="preserve"> and these implementing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193F—1.2</w:t>
      </w:r>
      <w:r>
        <w:rPr>
          <w:rFonts w:ascii="Times New Roman" w:hAnsi="Times New Roman"/>
          <w:b/>
          <w:i w:val="false"/>
          <w:color w:val="000000"/>
          <w:sz w:val="22"/>
        </w:rPr>
        <w:t xml:space="preserve">(543D) </w:t>
      </w:r>
      <w:r>
        <w:rPr>
          <w:rFonts w:ascii="Times New Roman" w:hAnsi="Times New Roman"/>
          <w:b/>
          <w:i w:val="false"/>
          <w:color w:val="000000"/>
          <w:sz w:val="22"/>
        </w:rPr>
        <w:t xml:space="preserve">Administrative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is vested with authority to review, approve, modify, or reject all board action pursuant to Iowa Code chapter </w:t>
      </w:r>
      <w:hyperlink r:id="rId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director may exercise all authority conferred upon the board and has to have access to all records and information to which the board has access. In supervising the board, the director will independently evaluate the substantive merits of recommended or proposed board actions which may be anticompetitive.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its duties and in exercising its authority under Iowa Code chapter </w:t>
      </w:r>
      <w:hyperlink r:id="rId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may take action without preclearance by the director if the action is ministerial or nondiscretionary. As used in this chapter, the words “ministerial or nondiscretionary” include any action expressly mandated by state or federal law, rule, or regulation; by the AQB; or by the appraisal subcommittee. The board may, for example, grant or deny an application for initial or reciprocal certification as a real estate appraiser, an application for registration as an associate real estate appraiser, or an application for a temporary practice permit by an out-of-state appraiser, on any ground expressly mandated by state or federal law, rule, or regulation; by the AQB; or by the appraisal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discretionary action under Iowa Code chapter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will secure approval of the director if the proposed action is or may be anticompetitive. As used in this chapter, the word “discretionary” includes any action that is authorized but not expressly imposed by state or federal law, rule, or regulation; by the AQB; or by the appraisal subcommittee. Examples of discretionary action include orders in response to petitions for rulemaking, declaratory orders, or waivers from rules, rulemaking, disciplinary proceedings against licensees, administrative proceedings against unlicensed persons, or any action commenced in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Determining whether any particular action is or may be anticompetitive is necessarily a fact-based inquiry dependent on a number of factors, including potential impact on the market or restraint of trade. With respect to disciplinary actions, for instance, a proceeding against a single licensee for violating appraisal standards would not have an impact on the broader market and would accordingly not be an anticompetitive action. Commencement of disciplinary proceedings which affect all or a substantial subset of appraisers may have a significant market impact. When in doubt as to whether a proposed discretionary action is or may be anticompetitive, the board may submit the proposed action to the director for preclearance.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any final action of the board taken under Iowa Code chapter </w:t>
      </w:r>
      <w:hyperlink r:id="rId11">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may appeal that action to the director within 20 days of the date the board issues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process applies whether the board action at issue was ministerial or nondiscretionary, or discretionary, and whether the proposed action was or was not submitted through a preclearance process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aggrieved by a final action of the board may seek judicial review of that action without first appealing the action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filings, and requests for public information. Final board action, regardless of whether such board action is ministerial, nondiscretionary, or discretionary, will be immediately effective when issued by the board but is subject to review or appeal to the director. If a timely review is initiated or a timely appeal is taken, the effectiveness of such final board action will be delayed during the pendency of such review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193F—1.3</w:t>
      </w:r>
      <w:r>
        <w:rPr>
          <w:rFonts w:ascii="Times New Roman" w:hAnsi="Times New Roman"/>
          <w:b/>
          <w:i w:val="false"/>
          <w:color w:val="000000"/>
          <w:sz w:val="22"/>
        </w:rPr>
        <w:t xml:space="preserve">(543D) </w:t>
      </w:r>
      <w:r>
        <w:rPr>
          <w:rFonts w:ascii="Times New Roman" w:hAnsi="Times New Roman"/>
          <w:b/>
          <w:i w:val="false"/>
          <w:color w:val="000000"/>
          <w:sz w:val="22"/>
        </w:rPr>
        <w:t xml:space="preserve">Annual meeting. </w:t>
      </w:r>
      <w:r>
        <w:rPr>
          <w:rFonts w:ascii="Times New Roman" w:hAnsi="Times New Roman"/>
          <w:b w:val="false"/>
          <w:i w:val="false"/>
          <w:color w:val="000000"/>
          <w:sz w:val="22"/>
        </w:rPr>
        <w:t>The annual meeting of the board will be the first meeting scheduled after April 30. At this time, the chairperson and vice chairperson are elected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193F—1.4</w:t>
      </w:r>
      <w:r>
        <w:rPr>
          <w:rFonts w:ascii="Times New Roman" w:hAnsi="Times New Roman"/>
          <w:b/>
          <w:i w:val="false"/>
          <w:color w:val="000000"/>
          <w:sz w:val="22"/>
        </w:rPr>
        <w:t xml:space="preserve">(543D) </w:t>
      </w:r>
      <w:r>
        <w:rPr>
          <w:rFonts w:ascii="Times New Roman" w:hAnsi="Times New Roman"/>
          <w:b/>
          <w:i w:val="false"/>
          <w:color w:val="000000"/>
          <w:sz w:val="22"/>
        </w:rPr>
        <w:t xml:space="preserve">Other meetings. </w:t>
      </w:r>
      <w:r>
        <w:rPr>
          <w:rFonts w:ascii="Times New Roman" w:hAnsi="Times New Roman"/>
          <w:b w:val="false"/>
          <w:i w:val="false"/>
          <w:color w:val="000000"/>
          <w:sz w:val="22"/>
        </w:rPr>
        <w:t>In addition to the annual meeting, and in addition to other meetings, the time and place of which may be fixed by resolution of the board, any meeting may be called by the chairperson of the board or by joint call of a majority of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193F—1.5</w:t>
      </w:r>
      <w:r>
        <w:rPr>
          <w:rFonts w:ascii="Times New Roman" w:hAnsi="Times New Roman"/>
          <w:b/>
          <w:i w:val="false"/>
          <w:color w:val="000000"/>
          <w:sz w:val="22"/>
        </w:rPr>
        <w:t xml:space="preserve">(543D) </w:t>
      </w:r>
      <w:r>
        <w:rPr>
          <w:rFonts w:ascii="Times New Roman" w:hAnsi="Times New Roman"/>
          <w:b/>
          <w:i w:val="false"/>
          <w:color w:val="000000"/>
          <w:sz w:val="22"/>
        </w:rPr>
        <w:t xml:space="preserve">Executive officer’s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cause complete records to be kept of applications for examination and registration, certificates and permits granted, and all necessary information in regard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determine when the legal obligations for certification and registration have been satisfied with regard to issuance of certificates or registrations, and the executive officer will submit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executive officer will keep accurate minutes of the meetings of the board. The executive officer will keep a list of the names of persons issued certificates as certified general real property appraisers, certified residential real property appraisers and associate real property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193F—1.6</w:t>
      </w:r>
      <w:r>
        <w:rPr>
          <w:rFonts w:ascii="Times New Roman" w:hAnsi="Times New Roman"/>
          <w:b/>
          <w:i w:val="false"/>
          <w:color w:val="000000"/>
          <w:sz w:val="22"/>
        </w:rPr>
        <w:t xml:space="preserve">(543D) </w:t>
      </w:r>
      <w:r>
        <w:rPr>
          <w:rFonts w:ascii="Times New Roman" w:hAnsi="Times New Roman"/>
          <w:b/>
          <w:i w:val="false"/>
          <w:color w:val="000000"/>
          <w:sz w:val="22"/>
        </w:rPr>
        <w:t xml:space="preserve">Records, filings, and requests for public information. </w:t>
      </w:r>
      <w:r>
        <w:rPr>
          <w:rFonts w:ascii="Times New Roman" w:hAnsi="Times New Roman"/>
          <w:b w:val="false"/>
          <w:i w:val="false"/>
          <w:color w:val="000000"/>
          <w:sz w:val="22"/>
        </w:rPr>
        <w:t>Unless otherwise specified by the rules of the department of inspections, appeals, and licensing, the board is the principal custodian of its own agency orders, statements of law or policy issued by the board, legal documents, and other public documents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board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such as is the case for timely renewal of a registration or certificate, any deadline for filing a document will be extended to the next working day when the deadline falls on a Saturday, Sunday, or official state holiday.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193F—1.7</w:t>
      </w:r>
      <w:r>
        <w:rPr>
          <w:rFonts w:ascii="Times New Roman" w:hAnsi="Times New Roman"/>
          <w:b/>
          <w:i w:val="false"/>
          <w:color w:val="000000"/>
          <w:sz w:val="22"/>
        </w:rPr>
        <w:t xml:space="preserve">(543D) </w:t>
      </w:r>
      <w:r>
        <w:rPr>
          <w:rFonts w:ascii="Times New Roman" w:hAnsi="Times New Roman"/>
          <w:b/>
          <w:i w:val="false"/>
          <w:color w:val="000000"/>
          <w:sz w:val="22"/>
        </w:rPr>
        <w:t xml:space="preserve">Adoption, amendment or repeal of administrative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is authorized to adopt, amend or repeal its administrative rules in accordance with the provisions of Iowa Code section </w:t>
      </w:r>
      <w:hyperlink r:id="rId1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Prior to the adoption, amendment or repeal of any rule of the board, any interested person, as described in Iowa Code section </w:t>
      </w:r>
      <w:hyperlink r:id="rId13">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submit any data, views, or arguments in writing concerning such rule or may request to make an oral presentation concerning such rule. Such written comments or requests to make oral presentations are to be filed with the board at its official address and should clearly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or agency authoring the comment or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and title of the proposed rule, which is the subject of the comment or request as given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general content of the oral presentation. A separate comment or request to make an oral presentation will be made for each proposed rule to which remarks are to be asserted.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The board will acknowledge receipt and acceptance for consideration of written comments and requests to make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val="false"/>
          <w:color w:val="000000"/>
          <w:sz w:val="22"/>
        </w:rPr>
        <w:t>Written comments received after the deadline set forth in the Notice of Intended Action may be accepted by the board although their consideration is not assured. Requests to make an oral presentation received after the deadline will not be accepted and will be returned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193F—1.8</w:t>
      </w:r>
      <w:r>
        <w:rPr>
          <w:rFonts w:ascii="Times New Roman" w:hAnsi="Times New Roman"/>
          <w:b/>
          <w:i w:val="false"/>
          <w:color w:val="000000"/>
          <w:sz w:val="22"/>
        </w:rPr>
        <w:t xml:space="preserve">(543D) </w:t>
      </w:r>
      <w:r>
        <w:rPr>
          <w:rFonts w:ascii="Times New Roman" w:hAnsi="Times New Roman"/>
          <w:b/>
          <w:i w:val="false"/>
          <w:color w:val="000000"/>
          <w:sz w:val="22"/>
        </w:rPr>
        <w:t xml:space="preserve">Types of appraiser classifications. </w:t>
      </w:r>
      <w:r>
        <w:rPr>
          <w:rFonts w:ascii="Times New Roman" w:hAnsi="Times New Roman"/>
          <w:b w:val="false"/>
          <w:i w:val="false"/>
          <w:color w:val="000000"/>
          <w:sz w:val="22"/>
        </w:rPr>
        <w:t>There are four types of appraiser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residential real property appraiser. This classification consists of those persons who meet the obligations of </w:t>
      </w:r>
      <w:hyperlink r:id="rId14">
        <w:r>
          <w:rPr>
            <w:rStyle w:val="Hyperlink"/>
            <w:rFonts w:ascii="Times New Roman" w:hAnsi="Times New Roman"/>
            <w:b w:val="false"/>
            <w:i w:val="false"/>
            <w:color w:val="000000"/>
            <w:sz w:val="22"/>
          </w:rPr>
          <w:t>193F—Chapter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general property appraiser. This classification consists of those persons who meet the obligations of </w:t>
      </w:r>
      <w:hyperlink r:id="rId15">
        <w:r>
          <w:rPr>
            <w:rStyle w:val="Hyperlink"/>
            <w:rFonts w:ascii="Times New Roman" w:hAnsi="Times New Roman"/>
            <w:b w:val="false"/>
            <w:i w:val="false"/>
            <w:color w:val="000000"/>
            <w:sz w:val="22"/>
          </w:rPr>
          <w:t>193F—Chapter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residential real property appraiser. This classification consists of those persons who meet the obligations of </w:t>
      </w:r>
      <w:hyperlink r:id="rId16">
        <w:r>
          <w:rPr>
            <w:rStyle w:val="Hyperlink"/>
            <w:rFonts w:ascii="Times New Roman" w:hAnsi="Times New Roman"/>
            <w:b w:val="false"/>
            <w:i w:val="false"/>
            <w:color w:val="000000"/>
            <w:sz w:val="22"/>
          </w:rPr>
          <w:t>193F—Chapter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general real property appraiser. This classification consists of those persons who meet the obligations of </w:t>
      </w:r>
      <w:hyperlink r:id="rId17">
        <w:r>
          <w:rPr>
            <w:rStyle w:val="Hyperlink"/>
            <w:rFonts w:ascii="Times New Roman" w:hAnsi="Times New Roman"/>
            <w:b w:val="false"/>
            <w:i w:val="false"/>
            <w:color w:val="000000"/>
            <w:sz w:val="22"/>
          </w:rPr>
          <w:t>193F—Chapter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193F—1.9</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Qualified state appraiser certifying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val="false"/>
          <w:color w:val="000000"/>
          <w:sz w:val="22"/>
        </w:rPr>
        <w:t>The real estate appraiser examining board is a state appraiser certifying agency in compliance with Title XI of the Financial Institutions Reform, Recovery, and Enforcement Act of 1989 (FIRREA). As a result, persons who are issued certificates by the board to practice as certified real estate appraisers are authorized under federal law to perform appraisal services for federally related transactions and are identified as such in the National Registry maintained by the Appraisal Subcommittee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adhere to the criteria established by the Appraiser Qualifications Board (AQB) of the Appraisal Foundation when registering associate appraisers or certifying certified appraisers under Iowa Code chapter </w:t>
      </w:r>
      <w:hyperlink r:id="rId1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To the extent that the rules conflict with the minimum obligations outlined in the current version of the AQB criteria, the minimum standards established in the criteria will apply and these rules will give way to the minimum obligations to comply with federal rule, law, or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193F—1.10</w:t>
      </w:r>
      <w:r>
        <w:rPr>
          <w:rFonts w:ascii="Times New Roman" w:hAnsi="Times New Roman"/>
          <w:b/>
          <w:i w:val="false"/>
          <w:color w:val="000000"/>
          <w:sz w:val="22"/>
        </w:rPr>
        <w:t xml:space="preserve">(543D) </w:t>
      </w:r>
      <w:r>
        <w:rPr>
          <w:rFonts w:ascii="Times New Roman" w:hAnsi="Times New Roman"/>
          <w:b/>
          <w:i w:val="false"/>
          <w:color w:val="000000"/>
          <w:sz w:val="22"/>
        </w:rPr>
        <w:t xml:space="preserve">AQB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w:t>
      </w:r>
      <w:r>
        <w:rPr>
          <w:rFonts w:ascii="Times New Roman" w:hAnsi="Times New Roman"/>
          <w:b w:val="false"/>
          <w:i w:val="false"/>
          <w:color w:val="000000"/>
          <w:sz w:val="22"/>
        </w:rPr>
        <w:t> </w:t>
      </w:r>
      <w:r>
        <w:rPr>
          <w:rFonts w:ascii="Times New Roman" w:hAnsi="Times New Roman"/>
          <w:b w:val="false"/>
          <w:i w:val="false"/>
          <w:color w:val="000000"/>
          <w:sz w:val="22"/>
        </w:rPr>
        <w:t>No person may be certified as a certified appraiser unless the person is eligible under the January 1, 2026,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w:t>
      </w:r>
      <w:r>
        <w:rPr>
          <w:rFonts w:ascii="Times New Roman" w:hAnsi="Times New Roman"/>
          <w:b w:val="false"/>
          <w:i w:val="false"/>
          <w:color w:val="000000"/>
          <w:sz w:val="22"/>
        </w:rPr>
        <w:t> </w:t>
      </w:r>
      <w:r>
        <w:rPr>
          <w:rFonts w:ascii="Times New Roman" w:hAnsi="Times New Roman"/>
          <w:b w:val="false"/>
          <w:i w:val="false"/>
          <w:color w:val="000000"/>
          <w:sz w:val="22"/>
        </w:rPr>
        <w:t>The January 1, 2026, AQB criteria outline the conditions under which applicants for certification are eligible to take the mandated examinations.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0078D</w:t>
      </w:r>
      <w:r>
        <w:rPr>
          <w:rFonts w:ascii="Times New Roman" w:hAnsi="Times New Roman"/>
          <w:b w:val="false"/>
          <w:i w:val="false"/>
          <w:color w:val="000000"/>
          <w:sz w:val="16"/>
        </w:rPr>
        <w:t>, IAB 2/18/26, effective 3/25/26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543D.4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543D.7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 xml:space="preserve"> and chapter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emergency 4/9/93—published 4/28/93, effective 4/9/93]</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2/28/96, Notice 1/3/96—published 3/27/96, effective 5/1/96]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9/26/02, Notice 8/21/02—published 10/16/02, effective 11/20/02]</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1467C</w:t>
      </w:r>
      <w:r>
        <w:rPr>
          <w:rFonts w:ascii="Times New Roman" w:hAnsi="Times New Roman"/>
          <w:b w:val="false"/>
          <w:i w:val="false"/>
          <w:color w:val="000000"/>
          <w:sz w:val="21"/>
        </w:rPr>
        <w:t xml:space="preserve"> (Notice ARC 1410C, IAB 4/2/14)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2808C</w:t>
      </w:r>
      <w:r>
        <w:rPr>
          <w:rFonts w:ascii="Times New Roman" w:hAnsi="Times New Roman"/>
          <w:b w:val="false"/>
          <w:i w:val="false"/>
          <w:color w:val="000000"/>
          <w:sz w:val="21"/>
        </w:rPr>
        <w:t xml:space="preserve"> (Notice ARC 2710C, IAB 9/14/16)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4707C</w:t>
      </w:r>
      <w:r>
        <w:rPr>
          <w:rFonts w:ascii="Times New Roman" w:hAnsi="Times New Roman"/>
          <w:b w:val="false"/>
          <w:i w:val="false"/>
          <w:color w:val="000000"/>
          <w:sz w:val="21"/>
        </w:rPr>
        <w:t xml:space="preserve"> (Notice ARC 4567C,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6375C</w:t>
      </w:r>
      <w:r>
        <w:rPr>
          <w:rFonts w:ascii="Times New Roman" w:hAnsi="Times New Roman"/>
          <w:b w:val="false"/>
          <w:i w:val="false"/>
          <w:color w:val="000000"/>
          <w:sz w:val="21"/>
        </w:rPr>
        <w:t xml:space="preserve"> (Notice ARC 6254C,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7837C</w:t>
      </w:r>
      <w:r>
        <w:rPr>
          <w:rFonts w:ascii="Times New Roman" w:hAnsi="Times New Roman"/>
          <w:b w:val="false"/>
          <w:i w:val="false"/>
          <w:color w:val="000000"/>
          <w:sz w:val="21"/>
        </w:rPr>
        <w:t xml:space="preserve"> (Notice ARC 7257C,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1/22/25]</w:t>
      </w:r>
    </w:p>
    <w:p>
      <w:pPr>
        <w:spacing w:before="0" w:after="0"/>
        <w:ind w:left="120"/>
        <w:jc w:val="center"/>
      </w:pPr>
      <w:r>
        <w:rPr>
          <w:rFonts w:ascii="Times New Roman" w:hAnsi="Times New Roman"/>
          <w:b w:val="false"/>
          <w:i w:val="false"/>
          <w:color w:val="000000"/>
          <w:sz w:val="21"/>
        </w:rPr>
        <w:t>[Filed ARC 0078D</w:t>
      </w:r>
      <w:r>
        <w:rPr>
          <w:rFonts w:ascii="Times New Roman" w:hAnsi="Times New Roman"/>
          <w:b w:val="false"/>
          <w:i w:val="false"/>
          <w:color w:val="000000"/>
          <w:sz w:val="21"/>
        </w:rPr>
        <w:t xml:space="preserve"> (Notice ARC 9537C, IAB 9/17/25)</w:t>
      </w:r>
      <w:r>
        <w:rPr>
          <w:rFonts w:ascii="Times New Roman" w:hAnsi="Times New Roman"/>
          <w:b w:val="false"/>
          <w:i w:val="false"/>
          <w:color w:val="000000"/>
          <w:sz w:val="21"/>
        </w:rPr>
        <w:t>, IAB 2/18/26, effective 3/25/26]</w:t>
      </w:r>
    </w:p>
    <w:sectPr>
      <w:footerReference r:id="rId2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23.pdf" Type="http://schemas.openxmlformats.org/officeDocument/2006/relationships/hyperlink" Id="rId7"/>
    <Relationship TargetMode="External" Target="https://www.legis.iowa.gov/docs/ico/chapter/543D.pdf" Type="http://schemas.openxmlformats.org/officeDocument/2006/relationships/hyperlink" Id="rId8"/>
    <Relationship TargetMode="External" Target="https://www.legis.iowa.gov/docs/ico/chapter/543D.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co/chapter/543D.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ac/chapter/193F.4.pdf" Type="http://schemas.openxmlformats.org/officeDocument/2006/relationships/hyperlink" Id="rId14"/>
    <Relationship TargetMode="External" Target="https://www.legis.iowa.gov/docs/iac/chapter/193F.4.pdf" Type="http://schemas.openxmlformats.org/officeDocument/2006/relationships/hyperlink" Id="rId15"/>
    <Relationship TargetMode="External" Target="https://www.legis.iowa.gov/docs/iac/chapter/193F.5.pdf" Type="http://schemas.openxmlformats.org/officeDocument/2006/relationships/hyperlink" Id="rId16"/>
    <Relationship TargetMode="External" Target="https://www.legis.iowa.gov/docs/iac/chapter/193F.5.pdf" Type="http://schemas.openxmlformats.org/officeDocument/2006/relationships/hyperlink" Id="rId17"/>
    <Relationship TargetMode="External" Target="https://www.legis.iowa.gov/docs/ico/chapter/543D.pdf" Type="http://schemas.openxmlformats.org/officeDocument/2006/relationships/hyperlink" Id="rId18"/>
    <Relationship TargetMode="External" Target="https://www.legis.iowa.gov/docs/ico/chapter/543D.4.pdf" Type="http://schemas.openxmlformats.org/officeDocument/2006/relationships/hyperlink" Id="rId19"/>
    <Relationship TargetMode="External" Target="https://www.legis.iowa.gov/docs/ico/chapter/543D.5.pdf" Type="http://schemas.openxmlformats.org/officeDocument/2006/relationships/hyperlink" Id="rId20"/>
    <Relationship TargetMode="External" Target="https://www.legis.iowa.gov/docs/ico/chapter/543D.7.pdf" Type="http://schemas.openxmlformats.org/officeDocument/2006/relationships/hyperlink" Id="rId21"/>
    <Relationship TargetMode="External" Target="https://www.legis.iowa.gov/docs/ico/chapter/543D.17.pdf" Type="http://schemas.openxmlformats.org/officeDocument/2006/relationships/hyperlink" Id="rId22"/>
    <Relationship TargetMode="External" Target="https://www.legis.iowa.gov/docs/ico/chapter/543D.20.pdf" Type="http://schemas.openxmlformats.org/officeDocument/2006/relationships/hyperlink" Id="rId23"/>
    <Relationship TargetMode="External" Target="https://www.legis.iowa.gov/docs/ico/chapter/543D.22.pdf" Type="http://schemas.openxmlformats.org/officeDocument/2006/relationships/hyperlink" Id="rId24"/>
    <Relationship TargetMode="External" Target="https://www.legis.iowa.gov/docs/ico/chapter/272C.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