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LICENSEES OF OTHER JURISDICTIONS AND RECIPROCITY</w:t>
      </w:r>
    </w:p>
    <w:p>
      <w:pPr>
        <w:spacing w:before="0" w:after="0"/>
        <w:ind w:left="120"/>
        <w:jc w:val="center"/>
      </w:pPr>
      <w:r>
        <w:rPr>
          <w:rFonts w:ascii="Times New Roman" w:hAnsi="Times New Roman"/>
          <w:b w:val="false"/>
          <w:i w:val="false"/>
          <w:color w:val="000000"/>
          <w:sz w:val="14"/>
        </w:rPr>
        <w:t>[Prior to 9/4/02, see 193E—2.3(543B)]</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193E—5.1</w:t>
      </w:r>
      <w:r>
        <w:rPr>
          <w:rFonts w:ascii="Times New Roman" w:hAnsi="Times New Roman"/>
          <w:b/>
          <w:i w:val="false"/>
          <w:color w:val="000000"/>
          <w:sz w:val="22"/>
        </w:rPr>
        <w:t xml:space="preserve">(543B) </w:t>
      </w:r>
      <w:r>
        <w:rPr>
          <w:rFonts w:ascii="Times New Roman" w:hAnsi="Times New Roman"/>
          <w:b/>
          <w:i w:val="false"/>
          <w:color w:val="000000"/>
          <w:sz w:val="22"/>
        </w:rPr>
        <w:t xml:space="preserve">Licensees of other jurisdictions. </w:t>
      </w:r>
      <w:r>
        <w:rPr>
          <w:rFonts w:ascii="Times New Roman" w:hAnsi="Times New Roman"/>
          <w:b w:val="false"/>
          <w:i w:val="false"/>
          <w:color w:val="000000"/>
          <w:sz w:val="22"/>
        </w:rPr>
        <w:t xml:space="preserve">As provided in Iowa Code section </w:t>
      </w:r>
      <w:hyperlink r:id="rId5">
        <w:r>
          <w:rPr>
            <w:rStyle w:val="Hyperlink"/>
            <w:rFonts w:ascii="Times New Roman" w:hAnsi="Times New Roman"/>
            <w:b w:val="false"/>
            <w:i w:val="false"/>
            <w:color w:val="000000"/>
            <w:sz w:val="22"/>
          </w:rPr>
          <w:t>543B.21</w:t>
        </w:r>
      </w:hyperlink>
      <w:r>
        <w:rPr>
          <w:rFonts w:ascii="Times New Roman" w:hAnsi="Times New Roman"/>
          <w:b w:val="false"/>
          <w:i w:val="false"/>
          <w:color w:val="000000"/>
          <w:sz w:val="22"/>
        </w:rPr>
        <w:t xml:space="preserve">, a nonresident of this state may be licensed as a real estate broker or a real estate salesperson upon complying with all the provisions and conditions of Iowa Code chapter </w:t>
      </w:r>
      <w:hyperlink r:id="rId6">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commission rules relative to resident brokers or salespersons.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licensed in another state or jurisdiction making application in Iowa by reciprocity or as provided in rule </w:t>
      </w:r>
      <w:hyperlink r:id="rId7">
        <w:r>
          <w:rPr>
            <w:rStyle w:val="Hyperlink"/>
            <w:rFonts w:ascii="Times New Roman" w:hAnsi="Times New Roman"/>
            <w:b w:val="false"/>
            <w:i w:val="false"/>
            <w:color w:val="000000"/>
            <w:sz w:val="22"/>
          </w:rPr>
          <w:t>193E—5.3</w:t>
        </w:r>
      </w:hyperlink>
      <w:r>
        <w:rPr>
          <w:rFonts w:ascii="Times New Roman" w:hAnsi="Times New Roman"/>
          <w:b w:val="false"/>
          <w:i w:val="false"/>
          <w:color w:val="000000"/>
          <w:sz w:val="22"/>
        </w:rPr>
        <w:t xml:space="preserve">(543B) or </w:t>
      </w:r>
      <w:hyperlink r:id="rId8">
        <w:r>
          <w:rPr>
            <w:rStyle w:val="Hyperlink"/>
            <w:rFonts w:ascii="Times New Roman" w:hAnsi="Times New Roman"/>
            <w:b w:val="false"/>
            <w:i w:val="false"/>
            <w:color w:val="000000"/>
            <w:sz w:val="22"/>
          </w:rPr>
          <w:t>193E—5.12</w:t>
        </w:r>
      </w:hyperlink>
      <w:r>
        <w:rPr>
          <w:rFonts w:ascii="Times New Roman" w:hAnsi="Times New Roman"/>
          <w:b w:val="false"/>
          <w:i w:val="false"/>
          <w:color w:val="000000"/>
          <w:sz w:val="22"/>
        </w:rPr>
        <w:t>(543B) may qualify for a salesperson license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licensed as a broker or broker associate in another state or jurisdiction making application in Iowa by reciprocity or as provided in rule </w:t>
      </w:r>
      <w:hyperlink r:id="rId9">
        <w:r>
          <w:rPr>
            <w:rStyle w:val="Hyperlink"/>
            <w:rFonts w:ascii="Times New Roman" w:hAnsi="Times New Roman"/>
            <w:b w:val="false"/>
            <w:i w:val="false"/>
            <w:color w:val="000000"/>
            <w:sz w:val="22"/>
          </w:rPr>
          <w:t>193E—5.3</w:t>
        </w:r>
      </w:hyperlink>
      <w:r>
        <w:rPr>
          <w:rFonts w:ascii="Times New Roman" w:hAnsi="Times New Roman"/>
          <w:b w:val="false"/>
          <w:i w:val="false"/>
          <w:color w:val="000000"/>
          <w:sz w:val="22"/>
        </w:rPr>
        <w:t xml:space="preserve">(543B) or </w:t>
      </w:r>
      <w:hyperlink r:id="rId10">
        <w:r>
          <w:rPr>
            <w:rStyle w:val="Hyperlink"/>
            <w:rFonts w:ascii="Times New Roman" w:hAnsi="Times New Roman"/>
            <w:b w:val="false"/>
            <w:i w:val="false"/>
            <w:color w:val="000000"/>
            <w:sz w:val="22"/>
          </w:rPr>
          <w:t>193E—5.12</w:t>
        </w:r>
      </w:hyperlink>
      <w:r>
        <w:rPr>
          <w:rFonts w:ascii="Times New Roman" w:hAnsi="Times New Roman"/>
          <w:b w:val="false"/>
          <w:i w:val="false"/>
          <w:color w:val="000000"/>
          <w:sz w:val="22"/>
        </w:rPr>
        <w:t xml:space="preserve">(543B) may qualify for the same type of broker or broker associate license in Iowa. The person meets all criteria for an Iowa broker license as provided in rule </w:t>
      </w:r>
      <w:hyperlink r:id="rId11">
        <w:r>
          <w:rPr>
            <w:rStyle w:val="Hyperlink"/>
            <w:rFonts w:ascii="Times New Roman" w:hAnsi="Times New Roman"/>
            <w:b w:val="false"/>
            <w:i w:val="false"/>
            <w:color w:val="000000"/>
            <w:sz w:val="22"/>
          </w:rPr>
          <w:t>193E—3.1</w:t>
        </w:r>
      </w:hyperlink>
      <w:r>
        <w:rPr>
          <w:rFonts w:ascii="Times New Roman" w:hAnsi="Times New Roman"/>
          <w:b w:val="false"/>
          <w:i w:val="false"/>
          <w:color w:val="000000"/>
          <w:sz w:val="22"/>
        </w:rPr>
        <w:t xml:space="preserve">(543B). If the person does not meet the criteria, the person may qualify for a salesperson license if the person meets, at a minimum, the criteria for an Iowa salesperson license as provided in </w:t>
      </w:r>
      <w:hyperlink r:id="rId12">
        <w:r>
          <w:rPr>
            <w:rStyle w:val="Hyperlink"/>
            <w:rFonts w:ascii="Times New Roman" w:hAnsi="Times New Roman"/>
            <w:b w:val="false"/>
            <w:i w:val="false"/>
            <w:color w:val="000000"/>
            <w:sz w:val="22"/>
          </w:rPr>
          <w:t>193E—Chapter 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may only perform activities in Iowa as provided by Iowa Code chapter </w:t>
      </w:r>
      <w:hyperlink r:id="rId13">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after qualifying for and being issued a real estate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193E—5.2</w:t>
      </w:r>
      <w:r>
        <w:rPr>
          <w:rFonts w:ascii="Times New Roman" w:hAnsi="Times New Roman"/>
          <w:b/>
          <w:i w:val="false"/>
          <w:color w:val="000000"/>
          <w:sz w:val="22"/>
        </w:rPr>
        <w:t xml:space="preserve">(543B) </w:t>
      </w:r>
      <w:r>
        <w:rPr>
          <w:rFonts w:ascii="Times New Roman" w:hAnsi="Times New Roman"/>
          <w:b/>
          <w:i w:val="false"/>
          <w:color w:val="000000"/>
          <w:sz w:val="22"/>
        </w:rPr>
        <w:t xml:space="preserve">Nonresident application. </w:t>
      </w:r>
      <w:r>
        <w:rPr>
          <w:rFonts w:ascii="Times New Roman" w:hAnsi="Times New Roman"/>
          <w:b w:val="false"/>
          <w:i w:val="false"/>
          <w:color w:val="000000"/>
          <w:sz w:val="22"/>
        </w:rPr>
        <w:t xml:space="preserve">Each applicant under rule </w:t>
      </w:r>
      <w:hyperlink r:id="rId14">
        <w:r>
          <w:rPr>
            <w:rStyle w:val="Hyperlink"/>
            <w:rFonts w:ascii="Times New Roman" w:hAnsi="Times New Roman"/>
            <w:b w:val="false"/>
            <w:i w:val="false"/>
            <w:color w:val="000000"/>
            <w:sz w:val="22"/>
          </w:rPr>
          <w:t>193E—5.3</w:t>
        </w:r>
      </w:hyperlink>
      <w:r>
        <w:rPr>
          <w:rFonts w:ascii="Times New Roman" w:hAnsi="Times New Roman"/>
          <w:b w:val="false"/>
          <w:i w:val="false"/>
          <w:color w:val="000000"/>
          <w:sz w:val="22"/>
        </w:rPr>
        <w:t xml:space="preserve">(543B) or under a reciprocal licensing agreement or memorandum applies on forms provided by the commission under Iowa Code section </w:t>
      </w:r>
      <w:hyperlink r:id="rId15">
        <w:r>
          <w:rPr>
            <w:rStyle w:val="Hyperlink"/>
            <w:rFonts w:ascii="Times New Roman" w:hAnsi="Times New Roman"/>
            <w:b w:val="false"/>
            <w:i w:val="false"/>
            <w:color w:val="000000"/>
            <w:sz w:val="22"/>
          </w:rPr>
          <w:t>543B.16</w:t>
        </w:r>
      </w:hyperlink>
      <w:r>
        <w:rPr>
          <w:rFonts w:ascii="Times New Roman" w:hAnsi="Times New Roman"/>
          <w:b w:val="false"/>
          <w:i w:val="false"/>
          <w:color w:val="000000"/>
          <w:sz w:val="22"/>
        </w:rPr>
        <w:t xml:space="preserve">. The application includes but is not limited to a certification of license from the state of original licensure containing all information required by Iowa Code section </w:t>
      </w:r>
      <w:hyperlink r:id="rId16">
        <w:r>
          <w:rPr>
            <w:rStyle w:val="Hyperlink"/>
            <w:rFonts w:ascii="Times New Roman" w:hAnsi="Times New Roman"/>
            <w:b w:val="false"/>
            <w:i w:val="false"/>
            <w:color w:val="000000"/>
            <w:sz w:val="22"/>
          </w:rPr>
          <w:t>543B.21</w:t>
        </w:r>
      </w:hyperlink>
      <w:r>
        <w:rPr>
          <w:rFonts w:ascii="Times New Roman" w:hAnsi="Times New Roman"/>
          <w:b w:val="false"/>
          <w:i w:val="false"/>
          <w:color w:val="000000"/>
          <w:sz w:val="22"/>
        </w:rPr>
        <w:t xml:space="preserve"> and an affidavit certifying that the applicant has reviewed and is familiar with and will be bound by the Iowa real estate license law and the rules of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193E—5.3</w:t>
      </w:r>
      <w:r>
        <w:rPr>
          <w:rFonts w:ascii="Times New Roman" w:hAnsi="Times New Roman"/>
          <w:b/>
          <w:i w:val="false"/>
          <w:color w:val="000000"/>
          <w:sz w:val="22"/>
        </w:rPr>
        <w:t xml:space="preserve">(543B) </w:t>
      </w:r>
      <w:r>
        <w:rPr>
          <w:rFonts w:ascii="Times New Roman" w:hAnsi="Times New Roman"/>
          <w:b/>
          <w:i w:val="false"/>
          <w:color w:val="000000"/>
          <w:sz w:val="22"/>
        </w:rPr>
        <w:t xml:space="preserve">License by examination. </w:t>
      </w:r>
      <w:r>
        <w:rPr>
          <w:rFonts w:ascii="Times New Roman" w:hAnsi="Times New Roman"/>
          <w:b w:val="false"/>
          <w:i w:val="false"/>
          <w:color w:val="000000"/>
          <w:sz w:val="22"/>
        </w:rPr>
        <w:t>A nonresident applicant licensed as a real estate salesperson or broker in a state or jurisdiction which does not have a reciprocal licensing agreement or memorandum with Iowa, or an applicant who does not qualify for reciprocal licensing, may be issued a comparable Iowa license by passing the real estate examination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w:t>
      </w:r>
      <w:r>
        <w:rPr>
          <w:rFonts w:ascii="Times New Roman" w:hAnsi="Times New Roman"/>
          <w:b w:val="false"/>
          <w:i w:val="false"/>
          <w:color w:val="000000"/>
          <w:sz w:val="22"/>
        </w:rPr>
        <w:t> </w:t>
      </w:r>
      <w:r>
        <w:rPr>
          <w:rFonts w:ascii="Times New Roman" w:hAnsi="Times New Roman"/>
          <w:b w:val="false"/>
          <w:i w:val="false"/>
          <w:color w:val="000000"/>
          <w:sz w:val="22"/>
        </w:rPr>
        <w:t xml:space="preserve">Broker. The person has been actively licensed as a broker or broker associate, the person meets all criteria for an Iowa broker’s license as provided in rule </w:t>
      </w:r>
      <w:hyperlink r:id="rId17">
        <w:r>
          <w:rPr>
            <w:rStyle w:val="Hyperlink"/>
            <w:rFonts w:ascii="Times New Roman" w:hAnsi="Times New Roman"/>
            <w:b w:val="false"/>
            <w:i w:val="false"/>
            <w:color w:val="000000"/>
            <w:sz w:val="22"/>
          </w:rPr>
          <w:t>193E—3.1</w:t>
        </w:r>
      </w:hyperlink>
      <w:r>
        <w:rPr>
          <w:rFonts w:ascii="Times New Roman" w:hAnsi="Times New Roman"/>
          <w:b w:val="false"/>
          <w:i w:val="false"/>
          <w:color w:val="000000"/>
          <w:sz w:val="22"/>
        </w:rPr>
        <w:t>(543B), and the license has not been inactive or expired for more than six months immediately preceding the date of passage of the national portion and Iowa portion of the broker real estate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val="false"/>
          <w:color w:val="000000"/>
          <w:sz w:val="22"/>
        </w:rPr>
        <w:t>Salesperson. The person has been actively licensed as a salesperson and the license has not been inactive or expired for more than six months immediately preceding the date of passage of the Iowa portion of the salesperson real estate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w:t>
      </w:r>
      <w:r>
        <w:rPr>
          <w:rFonts w:ascii="Times New Roman" w:hAnsi="Times New Roman"/>
          <w:b w:val="false"/>
          <w:i w:val="false"/>
          <w:color w:val="000000"/>
          <w:sz w:val="22"/>
        </w:rPr>
        <w:t> </w:t>
      </w:r>
      <w:r>
        <w:rPr>
          <w:rFonts w:ascii="Times New Roman" w:hAnsi="Times New Roman"/>
          <w:b w:val="false"/>
          <w:i w:val="false"/>
          <w:color w:val="000000"/>
          <w:sz w:val="22"/>
        </w:rPr>
        <w:t>The applicant submits a written request for authorization to sit for the appropriate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w:t>
      </w:r>
      <w:r>
        <w:rPr>
          <w:rFonts w:ascii="Times New Roman" w:hAnsi="Times New Roman"/>
          <w:b w:val="false"/>
          <w:i w:val="false"/>
          <w:color w:val="000000"/>
          <w:sz w:val="22"/>
        </w:rPr>
        <w:t> </w:t>
      </w:r>
      <w:r>
        <w:rPr>
          <w:rFonts w:ascii="Times New Roman" w:hAnsi="Times New Roman"/>
          <w:b w:val="false"/>
          <w:i w:val="false"/>
          <w:color w:val="000000"/>
          <w:sz w:val="22"/>
        </w:rPr>
        <w:t>The applicant submits certification of the applicant’s current qualifying license from the licensing authority that issued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193E—5.4</w:t>
      </w:r>
      <w:r>
        <w:rPr>
          <w:rFonts w:ascii="Times New Roman" w:hAnsi="Times New Roman"/>
          <w:b/>
          <w:i w:val="false"/>
          <w:color w:val="000000"/>
          <w:sz w:val="22"/>
        </w:rPr>
        <w:t xml:space="preserve">(543B) </w:t>
      </w:r>
      <w:r>
        <w:rPr>
          <w:rFonts w:ascii="Times New Roman" w:hAnsi="Times New Roman"/>
          <w:b/>
          <w:i w:val="false"/>
          <w:color w:val="000000"/>
          <w:sz w:val="22"/>
        </w:rPr>
        <w:t xml:space="preserve">Licensure by reciprocity. </w:t>
      </w:r>
      <w:r>
        <w:rPr>
          <w:rFonts w:ascii="Times New Roman" w:hAnsi="Times New Roman"/>
          <w:b w:val="false"/>
          <w:i w:val="false"/>
          <w:color w:val="000000"/>
          <w:sz w:val="22"/>
        </w:rPr>
        <w:t xml:space="preserve">The commission may, as provided in Iowa Code section </w:t>
      </w:r>
      <w:hyperlink r:id="rId18">
        <w:r>
          <w:rPr>
            <w:rStyle w:val="Hyperlink"/>
            <w:rFonts w:ascii="Times New Roman" w:hAnsi="Times New Roman"/>
            <w:b w:val="false"/>
            <w:i w:val="false"/>
            <w:color w:val="000000"/>
            <w:sz w:val="22"/>
          </w:rPr>
          <w:t>543B.21</w:t>
        </w:r>
      </w:hyperlink>
      <w:r>
        <w:rPr>
          <w:rFonts w:ascii="Times New Roman" w:hAnsi="Times New Roman"/>
          <w:b w:val="false"/>
          <w:i w:val="false"/>
          <w:color w:val="000000"/>
          <w:sz w:val="22"/>
        </w:rPr>
        <w:t>, enter into specific written reciprocal licensing agreements or memorandums with other individual states or jurisdictions having similar licensing criteria and grant an Iowa license to licensees from those states or jurisdictions on the same basis as Iowa licensees are granted licenses by those states or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w:t>
      </w:r>
      <w:r>
        <w:rPr>
          <w:rFonts w:ascii="Times New Roman" w:hAnsi="Times New Roman"/>
          <w:b w:val="false"/>
          <w:i w:val="false"/>
          <w:color w:val="000000"/>
          <w:sz w:val="22"/>
        </w:rPr>
        <w:t> </w:t>
      </w:r>
      <w:r>
        <w:rPr>
          <w:rFonts w:ascii="Times New Roman" w:hAnsi="Times New Roman"/>
          <w:b w:val="false"/>
          <w:i w:val="false"/>
          <w:color w:val="000000"/>
          <w:sz w:val="22"/>
        </w:rPr>
        <w:t>The applicant is not a resident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w:t>
      </w:r>
      <w:r>
        <w:rPr>
          <w:rFonts w:ascii="Times New Roman" w:hAnsi="Times New Roman"/>
          <w:b w:val="false"/>
          <w:i w:val="false"/>
          <w:color w:val="000000"/>
          <w:sz w:val="22"/>
        </w:rPr>
        <w:t> </w:t>
      </w:r>
      <w:r>
        <w:rPr>
          <w:rFonts w:ascii="Times New Roman" w:hAnsi="Times New Roman"/>
          <w:b w:val="false"/>
          <w:i w:val="false"/>
          <w:color w:val="000000"/>
          <w:sz w:val="22"/>
        </w:rPr>
        <w:t>A license issued pursuant to this rule is based upon a nonresident salesperson or broker license issued by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5.4(3)</w:t>
      </w:r>
      <w:r>
        <w:rPr>
          <w:rFonts w:ascii="Times New Roman" w:hAnsi="Times New Roman"/>
          <w:b w:val="false"/>
          <w:i w:val="false"/>
          <w:color w:val="000000"/>
          <w:sz w:val="22"/>
        </w:rPr>
        <w:t> </w:t>
      </w:r>
      <w:r>
        <w:rPr>
          <w:rFonts w:ascii="Times New Roman" w:hAnsi="Times New Roman"/>
          <w:b w:val="false"/>
          <w:i w:val="false"/>
          <w:color w:val="000000"/>
          <w:sz w:val="22"/>
        </w:rPr>
        <w:t>A license issued pursuant to this rule is assigned to the same broker or firm as the nonresident license upon which it is based.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5.4(4)</w:t>
      </w:r>
      <w:r>
        <w:rPr>
          <w:rFonts w:ascii="Times New Roman" w:hAnsi="Times New Roman"/>
          <w:b w:val="false"/>
          <w:i w:val="false"/>
          <w:color w:val="000000"/>
          <w:sz w:val="22"/>
        </w:rPr>
        <w:t> </w:t>
      </w:r>
      <w:r>
        <w:rPr>
          <w:rFonts w:ascii="Times New Roman" w:hAnsi="Times New Roman"/>
          <w:b w:val="false"/>
          <w:i w:val="false"/>
          <w:color w:val="000000"/>
          <w:sz w:val="22"/>
        </w:rPr>
        <w:t>If an applicant establishes residency in Iowa, that person does not qualify for licensure by reciprocal licensing agreement or memorandum.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w:t>
      </w:r>
      <w:r>
        <w:rPr>
          <w:rFonts w:ascii="Times New Roman" w:hAnsi="Times New Roman"/>
          <w:b w:val="false"/>
          <w:i w:val="false"/>
          <w:color w:val="000000"/>
          <w:sz w:val="22"/>
        </w:rPr>
        <w:t> </w:t>
      </w:r>
      <w:r>
        <w:rPr>
          <w:rFonts w:ascii="Times New Roman" w:hAnsi="Times New Roman"/>
          <w:b w:val="false"/>
          <w:i w:val="false"/>
          <w:color w:val="000000"/>
          <w:sz w:val="22"/>
        </w:rPr>
        <w:t>An Iowa license issued by reciprocity is based upon the nonresident license issued by examination in that other state or jurisdiction and is issued to the same broker and location as the nonresident license. The nonresident broker and firm, if applicable, must also be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5.4(6)</w:t>
      </w:r>
      <w:r>
        <w:rPr>
          <w:rFonts w:ascii="Times New Roman" w:hAnsi="Times New Roman"/>
          <w:b w:val="false"/>
          <w:i w:val="false"/>
          <w:color w:val="000000"/>
          <w:sz w:val="22"/>
        </w:rPr>
        <w:t> </w:t>
      </w:r>
      <w:r>
        <w:rPr>
          <w:rFonts w:ascii="Times New Roman" w:hAnsi="Times New Roman"/>
          <w:b w:val="false"/>
          <w:i w:val="false"/>
          <w:color w:val="000000"/>
          <w:sz w:val="22"/>
        </w:rPr>
        <w:t>A reciprocity agreement or memorandum of understanding is only a method to apply for licensure and does not grant any exception to mandatory license laws of Iowa or the other state or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5.4(7)</w:t>
      </w:r>
      <w:r>
        <w:rPr>
          <w:rFonts w:ascii="Times New Roman" w:hAnsi="Times New Roman"/>
          <w:b w:val="false"/>
          <w:i w:val="false"/>
          <w:color w:val="000000"/>
          <w:sz w:val="22"/>
        </w:rPr>
        <w:t> </w:t>
      </w:r>
      <w:r>
        <w:rPr>
          <w:rFonts w:ascii="Times New Roman" w:hAnsi="Times New Roman"/>
          <w:b w:val="false"/>
          <w:i w:val="false"/>
          <w:color w:val="000000"/>
          <w:sz w:val="22"/>
        </w:rPr>
        <w:t xml:space="preserve">An Iowa licensee wishing to obtain a license in any other state or jurisdiction should contact that state’s or jurisdiction’s licensing board for information and applications.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193E—5.5</w:t>
      </w:r>
      <w:r>
        <w:rPr>
          <w:rFonts w:ascii="Times New Roman" w:hAnsi="Times New Roman"/>
          <w:b/>
          <w:i w:val="false"/>
          <w:color w:val="000000"/>
          <w:sz w:val="22"/>
        </w:rPr>
        <w:t xml:space="preserve">(543B) </w:t>
      </w:r>
      <w:r>
        <w:rPr>
          <w:rFonts w:ascii="Times New Roman" w:hAnsi="Times New Roman"/>
          <w:b/>
          <w:i w:val="false"/>
          <w:color w:val="000000"/>
          <w:sz w:val="22"/>
        </w:rPr>
        <w:t xml:space="preserve">Renewal of a license issued by reciprocity. </w:t>
      </w:r>
      <w:r>
        <w:rPr>
          <w:rFonts w:ascii="Times New Roman" w:hAnsi="Times New Roman"/>
          <w:b w:val="false"/>
          <w:i w:val="false"/>
          <w:color w:val="000000"/>
          <w:sz w:val="22"/>
        </w:rPr>
        <w:t>All renewal criteria for a real estate broker or salesperson license issued by examination apply to a license issued by reciprocity.</w:t>
      </w:r>
    </w:p>
    <w:p>
      <w:pPr>
        <w:spacing w:before="0" w:after="0"/>
        <w:ind w:left="120"/>
        <w:jc w:val="both"/>
      </w:pPr>
      <w:r>
        <w:rPr>
          <w:rFonts w:ascii="Times New Roman" w:hAnsi="Times New Roman"/>
          <w:b w:val="false"/>
          <w:i w:val="false"/>
          <w:color w:val="000000"/>
          <w:sz w:val="22"/>
        </w:rPr>
        <w:t>Continuing education reciprocity is specifically provided for in the reciprocal license agreement or memorandum, or in a separate reciprocal continuing education agreement or memorandum.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193E—5.6</w:t>
      </w:r>
      <w:r>
        <w:rPr>
          <w:rFonts w:ascii="Times New Roman" w:hAnsi="Times New Roman"/>
          <w:b/>
          <w:i w:val="false"/>
          <w:color w:val="000000"/>
          <w:sz w:val="22"/>
        </w:rPr>
        <w:t xml:space="preserve">(543B) </w:t>
      </w:r>
      <w:r>
        <w:rPr>
          <w:rFonts w:ascii="Times New Roman" w:hAnsi="Times New Roman"/>
          <w:b/>
          <w:i w:val="false"/>
          <w:color w:val="000000"/>
          <w:sz w:val="22"/>
        </w:rPr>
        <w:t xml:space="preserve">Reinstatement of a license issued by reciprocity. </w:t>
      </w:r>
      <w:r>
        <w:rPr>
          <w:rFonts w:ascii="Times New Roman" w:hAnsi="Times New Roman"/>
          <w:b w:val="false"/>
          <w:i w:val="false"/>
          <w:color w:val="000000"/>
          <w:sz w:val="22"/>
        </w:rPr>
        <w:t>All reinstatement criteria for a real estate broker license or salesperson license issued by examination apply to a license issued by reciprocity.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w:t>
      </w:r>
      <w:r>
        <w:rPr>
          <w:rFonts w:ascii="Times New Roman" w:hAnsi="Times New Roman"/>
          <w:b w:val="false"/>
          <w:i w:val="false"/>
          <w:color w:val="000000"/>
          <w:sz w:val="22"/>
        </w:rPr>
        <w:t> </w:t>
      </w:r>
      <w:r>
        <w:rPr>
          <w:rFonts w:ascii="Times New Roman" w:hAnsi="Times New Roman"/>
          <w:b w:val="false"/>
          <w:i w:val="false"/>
          <w:color w:val="000000"/>
          <w:sz w:val="22"/>
        </w:rPr>
        <w:t>Starting over. A broker or salesperson who fails to file a complete application to reinstate an expired license by midnight December 31 of the third year following expiration is treated as if the former broker or salesperson had never been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w:t>
      </w:r>
      <w:r>
        <w:rPr>
          <w:rFonts w:ascii="Times New Roman" w:hAnsi="Times New Roman"/>
          <w:b w:val="false"/>
          <w:i w:val="false"/>
          <w:color w:val="000000"/>
          <w:sz w:val="22"/>
        </w:rPr>
        <w:t> </w:t>
      </w:r>
      <w:r>
        <w:rPr>
          <w:rFonts w:ascii="Times New Roman" w:hAnsi="Times New Roman"/>
          <w:b w:val="false"/>
          <w:i w:val="false"/>
          <w:color w:val="000000"/>
          <w:sz w:val="22"/>
        </w:rPr>
        <w:t>A broker or salesperson must qualify for reciprocity in order to reinstate an expired reciprocal broker or salesperson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broker or salesperson has moved into Iowa and no longer qualifies for reciprocity, the expired license is reinstated in the same manner as a license issued by examination as provided in rule </w:t>
      </w:r>
      <w:hyperlink r:id="rId19">
        <w:r>
          <w:rPr>
            <w:rStyle w:val="Hyperlink"/>
            <w:rFonts w:ascii="Times New Roman" w:hAnsi="Times New Roman"/>
            <w:b w:val="false"/>
            <w:i w:val="false"/>
            <w:color w:val="000000"/>
            <w:sz w:val="22"/>
          </w:rPr>
          <w:t>193E—3.6</w:t>
        </w:r>
      </w:hyperlink>
      <w:r>
        <w:rPr>
          <w:rFonts w:ascii="Times New Roman" w:hAnsi="Times New Roman"/>
          <w:b w:val="false"/>
          <w:i w:val="false"/>
          <w:color w:val="000000"/>
          <w:sz w:val="22"/>
        </w:rPr>
        <w:t xml:space="preserve">(272C,543B) for brokers and rule </w:t>
      </w:r>
      <w:hyperlink r:id="rId20">
        <w:r>
          <w:rPr>
            <w:rStyle w:val="Hyperlink"/>
            <w:rFonts w:ascii="Times New Roman" w:hAnsi="Times New Roman"/>
            <w:b w:val="false"/>
            <w:i w:val="false"/>
            <w:color w:val="000000"/>
            <w:sz w:val="22"/>
          </w:rPr>
          <w:t>193E—4.6</w:t>
        </w:r>
      </w:hyperlink>
      <w:r>
        <w:rPr>
          <w:rFonts w:ascii="Times New Roman" w:hAnsi="Times New Roman"/>
          <w:b w:val="false"/>
          <w:i w:val="false"/>
          <w:color w:val="000000"/>
          <w:sz w:val="22"/>
        </w:rPr>
        <w:t>(272C,543B) for salespersons.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193E—5.7</w:t>
      </w:r>
      <w:r>
        <w:rPr>
          <w:rFonts w:ascii="Times New Roman" w:hAnsi="Times New Roman"/>
          <w:b/>
          <w:i w:val="false"/>
          <w:color w:val="000000"/>
          <w:sz w:val="22"/>
        </w:rPr>
        <w:t xml:space="preserve">(543B) </w:t>
      </w:r>
      <w:r>
        <w:rPr>
          <w:rFonts w:ascii="Times New Roman" w:hAnsi="Times New Roman"/>
          <w:b/>
          <w:i w:val="false"/>
          <w:color w:val="000000"/>
          <w:sz w:val="22"/>
        </w:rPr>
        <w:t xml:space="preserve">Nonresident real estate offices and licenses required. </w:t>
      </w:r>
      <w:r>
        <w:rPr>
          <w:rFonts w:ascii="Times New Roman" w:hAnsi="Times New Roman"/>
          <w:b w:val="false"/>
          <w:i w:val="false"/>
          <w:color w:val="000000"/>
          <w:sz w:val="22"/>
        </w:rPr>
        <w:t xml:space="preserve">All nonresident applicants for licensure in Iowa shall qualify for and obtain a license pursuant to Iowa Code section </w:t>
      </w:r>
      <w:hyperlink r:id="rId21">
        <w:r>
          <w:rPr>
            <w:rStyle w:val="Hyperlink"/>
            <w:rFonts w:ascii="Times New Roman" w:hAnsi="Times New Roman"/>
            <w:b w:val="false"/>
            <w:i w:val="false"/>
            <w:color w:val="000000"/>
            <w:sz w:val="22"/>
          </w:rPr>
          <w:t>543B.2(2)</w:t>
        </w:r>
      </w:hyperlink>
      <w:r>
        <w:rPr>
          <w:rFonts w:ascii="Times New Roman" w:hAnsi="Times New Roman"/>
          <w:b w:val="false"/>
          <w:i w:val="false"/>
          <w:color w:val="000000"/>
          <w:sz w:val="22"/>
        </w:rPr>
        <w:t xml:space="preserve"> and rule </w:t>
      </w:r>
      <w:hyperlink r:id="rId22">
        <w:r>
          <w:rPr>
            <w:rStyle w:val="Hyperlink"/>
            <w:rFonts w:ascii="Times New Roman" w:hAnsi="Times New Roman"/>
            <w:b w:val="false"/>
            <w:i w:val="false"/>
            <w:color w:val="000000"/>
            <w:sz w:val="22"/>
          </w:rPr>
          <w:t>193E—7.1</w:t>
        </w:r>
      </w:hyperlink>
      <w:r>
        <w:rPr>
          <w:rFonts w:ascii="Times New Roman" w:hAnsi="Times New Roman"/>
          <w:b w:val="false"/>
          <w:i w:val="false"/>
          <w:color w:val="000000"/>
          <w:sz w:val="22"/>
        </w:rPr>
        <w:t>(543B).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w:t>
      </w:r>
      <w:r>
        <w:rPr>
          <w:rFonts w:ascii="Times New Roman" w:hAnsi="Times New Roman"/>
          <w:b w:val="false"/>
          <w:i w:val="false"/>
          <w:color w:val="000000"/>
          <w:sz w:val="22"/>
        </w:rPr>
        <w:t> </w:t>
      </w:r>
      <w:r>
        <w:rPr>
          <w:rFonts w:ascii="Times New Roman" w:hAnsi="Times New Roman"/>
          <w:b w:val="false"/>
          <w:i w:val="false"/>
          <w:color w:val="000000"/>
          <w:sz w:val="22"/>
        </w:rPr>
        <w:t>If the applicant is a broker associate or salesperson of a nonresident broker, the nonresident employing broker must have an Iowa broker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is employed by or otherwise associated with a nonresident real estate firm as defined in rule </w:t>
      </w:r>
      <w:hyperlink r:id="rId23">
        <w:r>
          <w:rPr>
            <w:rStyle w:val="Hyperlink"/>
            <w:rFonts w:ascii="Times New Roman" w:hAnsi="Times New Roman"/>
            <w:b w:val="false"/>
            <w:i w:val="false"/>
            <w:color w:val="000000"/>
            <w:sz w:val="22"/>
          </w:rPr>
          <w:t>193E—2.1</w:t>
        </w:r>
      </w:hyperlink>
      <w:r>
        <w:rPr>
          <w:rFonts w:ascii="Times New Roman" w:hAnsi="Times New Roman"/>
          <w:b w:val="false"/>
          <w:i w:val="false"/>
          <w:color w:val="000000"/>
          <w:sz w:val="22"/>
        </w:rPr>
        <w:t>(543B), that firm must apply and qualify for an Iowa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 firm as defined in rule </w:t>
      </w:r>
      <w:hyperlink r:id="rId24">
        <w:r>
          <w:rPr>
            <w:rStyle w:val="Hyperlink"/>
            <w:rFonts w:ascii="Times New Roman" w:hAnsi="Times New Roman"/>
            <w:b w:val="false"/>
            <w:i w:val="false"/>
            <w:color w:val="000000"/>
            <w:sz w:val="22"/>
          </w:rPr>
          <w:t>193E—2.1</w:t>
        </w:r>
      </w:hyperlink>
      <w:r>
        <w:rPr>
          <w:rFonts w:ascii="Times New Roman" w:hAnsi="Times New Roman"/>
          <w:b w:val="false"/>
          <w:i w:val="false"/>
          <w:color w:val="000000"/>
          <w:sz w:val="22"/>
        </w:rPr>
        <w:t>(543B) may be granted an Iowa license unless at least one member or officer of the firm applies for and is granted an Iowa broker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member or officer of the firm and every employee or associated real estate licensee who acts as a real estate broker, broker associate, or salesperson in Iowa must apply for and be granted an Iowa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w:t>
      </w:r>
      <w:r>
        <w:rPr>
          <w:rFonts w:ascii="Times New Roman" w:hAnsi="Times New Roman"/>
          <w:b w:val="false"/>
          <w:i w:val="false"/>
          <w:color w:val="000000"/>
          <w:sz w:val="22"/>
        </w:rPr>
        <w:t> </w:t>
      </w:r>
      <w:r>
        <w:rPr>
          <w:rFonts w:ascii="Times New Roman" w:hAnsi="Times New Roman"/>
          <w:b w:val="false"/>
          <w:i w:val="false"/>
          <w:color w:val="000000"/>
          <w:sz w:val="22"/>
        </w:rPr>
        <w:t xml:space="preserve">As provided by Iowa Code section </w:t>
      </w:r>
      <w:hyperlink r:id="rId25">
        <w:r>
          <w:rPr>
            <w:rStyle w:val="Hyperlink"/>
            <w:rFonts w:ascii="Times New Roman" w:hAnsi="Times New Roman"/>
            <w:b w:val="false"/>
            <w:i w:val="false"/>
            <w:color w:val="000000"/>
            <w:sz w:val="22"/>
          </w:rPr>
          <w:t>543B.22</w:t>
        </w:r>
      </w:hyperlink>
      <w:r>
        <w:rPr>
          <w:rFonts w:ascii="Times New Roman" w:hAnsi="Times New Roman"/>
          <w:b w:val="false"/>
          <w:i w:val="false"/>
          <w:color w:val="000000"/>
          <w:sz w:val="22"/>
        </w:rPr>
        <w:t>, a nonresident broker or firm is not obligated to maintain a definite place of business in Iowa if that broker or firm maintains an active place of business within the resident state or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193E—5.8</w:t>
      </w:r>
      <w:r>
        <w:rPr>
          <w:rFonts w:ascii="Times New Roman" w:hAnsi="Times New Roman"/>
          <w:b/>
          <w:i w:val="false"/>
          <w:color w:val="000000"/>
          <w:sz w:val="22"/>
        </w:rPr>
        <w:t xml:space="preserve">(543B) </w:t>
      </w:r>
      <w:r>
        <w:rPr>
          <w:rFonts w:ascii="Times New Roman" w:hAnsi="Times New Roman"/>
          <w:b/>
          <w:i w:val="false"/>
          <w:color w:val="000000"/>
          <w:sz w:val="22"/>
        </w:rPr>
        <w:t xml:space="preserve">Actions against nonresidents. </w:t>
      </w:r>
      <w:r>
        <w:rPr>
          <w:rFonts w:ascii="Times New Roman" w:hAnsi="Times New Roman"/>
          <w:b w:val="false"/>
          <w:i w:val="false"/>
          <w:color w:val="000000"/>
          <w:sz w:val="22"/>
        </w:rPr>
        <w:t xml:space="preserve">The application for a nonresident license is accompanied by an executed irrevocable written consent to suits and actions at law or in equity as provided in Iowa Code section </w:t>
      </w:r>
      <w:hyperlink r:id="rId26">
        <w:r>
          <w:rPr>
            <w:rStyle w:val="Hyperlink"/>
            <w:rFonts w:ascii="Times New Roman" w:hAnsi="Times New Roman"/>
            <w:b w:val="false"/>
            <w:i w:val="false"/>
            <w:color w:val="000000"/>
            <w:sz w:val="22"/>
          </w:rPr>
          <w:t>543B.23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193E—5.9</w:t>
      </w:r>
      <w:r>
        <w:rPr>
          <w:rFonts w:ascii="Times New Roman" w:hAnsi="Times New Roman"/>
          <w:b/>
          <w:i w:val="false"/>
          <w:color w:val="000000"/>
          <w:sz w:val="22"/>
        </w:rPr>
        <w:t xml:space="preserve">(543B) </w:t>
      </w:r>
      <w:r>
        <w:rPr>
          <w:rFonts w:ascii="Times New Roman" w:hAnsi="Times New Roman"/>
          <w:b/>
          <w:i w:val="false"/>
          <w:color w:val="000000"/>
          <w:sz w:val="22"/>
        </w:rPr>
        <w:t xml:space="preserve">Nonresident continuing education. </w:t>
      </w:r>
      <w:r>
        <w:rPr>
          <w:rFonts w:ascii="Times New Roman" w:hAnsi="Times New Roman"/>
          <w:b w:val="false"/>
          <w:i w:val="false"/>
          <w:color w:val="000000"/>
          <w:sz w:val="22"/>
        </w:rPr>
        <w:t>Nonresident licensees shall fully comply with all continuing education unless a separate education agreement is in place between Iowa and the nonresident state or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193E—5.10</w:t>
      </w:r>
      <w:r>
        <w:rPr>
          <w:rFonts w:ascii="Times New Roman" w:hAnsi="Times New Roman"/>
          <w:b/>
          <w:i w:val="false"/>
          <w:color w:val="000000"/>
          <w:sz w:val="22"/>
        </w:rPr>
        <w:t xml:space="preserve">(543B) </w:t>
      </w:r>
      <w:r>
        <w:rPr>
          <w:rFonts w:ascii="Times New Roman" w:hAnsi="Times New Roman"/>
          <w:b/>
          <w:i w:val="false"/>
          <w:color w:val="000000"/>
          <w:sz w:val="22"/>
        </w:rPr>
        <w:t xml:space="preserve">License discipline reporting. </w:t>
      </w:r>
      <w:r>
        <w:rPr>
          <w:rFonts w:ascii="Times New Roman" w:hAnsi="Times New Roman"/>
          <w:b w:val="false"/>
          <w:i w:val="false"/>
          <w:color w:val="000000"/>
          <w:sz w:val="22"/>
        </w:rPr>
        <w:t xml:space="preserve">If an Iowa licensee has a real estate license disciplined, suspended or revoked by any other state or jurisdiction, that disciplinary action will be considered prima facie evidence of violation of Iowa Code section </w:t>
      </w:r>
      <w:hyperlink r:id="rId27">
        <w:r>
          <w:rPr>
            <w:rStyle w:val="Hyperlink"/>
            <w:rFonts w:ascii="Times New Roman" w:hAnsi="Times New Roman"/>
            <w:b w:val="false"/>
            <w:i w:val="false"/>
            <w:color w:val="000000"/>
            <w:sz w:val="22"/>
          </w:rPr>
          <w:t>543B.29</w:t>
        </w:r>
      </w:hyperlink>
      <w:r>
        <w:rPr>
          <w:rFonts w:ascii="Times New Roman" w:hAnsi="Times New Roman"/>
          <w:b w:val="false"/>
          <w:i w:val="false"/>
          <w:color w:val="000000"/>
          <w:sz w:val="22"/>
        </w:rPr>
        <w:t xml:space="preserve"> or 543B.34 or both, and a hearing may be held to determine whether similar disciplinary action should be taken against the Iowa licensee. Failure to notify the commission within 15 days of an adverse action taken by another state or jurisdiction is cause for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193E—5.11</w:t>
      </w:r>
      <w:r>
        <w:rPr>
          <w:rFonts w:ascii="Times New Roman" w:hAnsi="Times New Roman"/>
          <w:b/>
          <w:i w:val="false"/>
          <w:color w:val="000000"/>
          <w:sz w:val="22"/>
        </w:rPr>
        <w:t xml:space="preserve">(543B) </w:t>
      </w:r>
      <w:r>
        <w:rPr>
          <w:rFonts w:ascii="Times New Roman" w:hAnsi="Times New Roman"/>
          <w:b/>
          <w:i w:val="false"/>
          <w:color w:val="000000"/>
          <w:sz w:val="22"/>
        </w:rPr>
        <w:t xml:space="preserve">Licensure by verification. </w:t>
      </w:r>
      <w:r>
        <w:rPr>
          <w:rFonts w:ascii="Times New Roman" w:hAnsi="Times New Roman"/>
          <w:b w:val="false"/>
          <w:i w:val="false"/>
          <w:color w:val="000000"/>
          <w:sz w:val="22"/>
        </w:rPr>
        <w:t xml:space="preserve">A person licensed in another state or jurisdiction may qualify for an Iowa salesperson or broker license through verification by making application as provided in rule </w:t>
      </w:r>
      <w:hyperlink r:id="rId28">
        <w:r>
          <w:rPr>
            <w:rStyle w:val="Hyperlink"/>
            <w:rFonts w:ascii="Times New Roman" w:hAnsi="Times New Roman"/>
            <w:b w:val="false"/>
            <w:i w:val="false"/>
            <w:color w:val="000000"/>
            <w:sz w:val="22"/>
          </w:rPr>
          <w:t>193—14.4</w:t>
        </w:r>
      </w:hyperlink>
      <w:r>
        <w:rPr>
          <w:rFonts w:ascii="Times New Roman" w:hAnsi="Times New Roman"/>
          <w:b w:val="false"/>
          <w:i w:val="false"/>
          <w:color w:val="000000"/>
          <w:sz w:val="22"/>
        </w:rPr>
        <w:t xml:space="preserve">(272C). In addition to all requirements provided by rule </w:t>
      </w:r>
      <w:hyperlink r:id="rId29">
        <w:r>
          <w:rPr>
            <w:rStyle w:val="Hyperlink"/>
            <w:rFonts w:ascii="Times New Roman" w:hAnsi="Times New Roman"/>
            <w:b w:val="false"/>
            <w:i w:val="false"/>
            <w:color w:val="000000"/>
            <w:sz w:val="22"/>
          </w:rPr>
          <w:t>193—14.4</w:t>
        </w:r>
      </w:hyperlink>
      <w:r>
        <w:rPr>
          <w:rFonts w:ascii="Times New Roman" w:hAnsi="Times New Roman"/>
          <w:b w:val="false"/>
          <w:i w:val="false"/>
          <w:color w:val="000000"/>
          <w:sz w:val="22"/>
        </w:rPr>
        <w:t>(272C), an applicant for a license through verification shall also submit to the commission proof of passing the Iowa portion of the salesperson or broker real estate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w:t>
      </w:r>
      <w:r>
        <w:rPr>
          <w:rFonts w:ascii="Times New Roman" w:hAnsi="Times New Roman"/>
          <w:b w:val="false"/>
          <w:i w:val="false"/>
          <w:color w:val="000000"/>
          <w:sz w:val="22"/>
        </w:rPr>
        <w:t> </w:t>
      </w:r>
      <w:r>
        <w:rPr>
          <w:rFonts w:ascii="Times New Roman" w:hAnsi="Times New Roman"/>
          <w:b w:val="false"/>
          <w:i/>
          <w:color w:val="000000"/>
          <w:sz w:val="22"/>
        </w:rPr>
        <w:t xml:space="preserve">License terms. </w:t>
      </w:r>
      <w:r>
        <w:rPr>
          <w:rFonts w:ascii="Times New Roman" w:hAnsi="Times New Roman"/>
          <w:b w:val="false"/>
          <w:i w:val="false"/>
          <w:color w:val="000000"/>
          <w:sz w:val="22"/>
        </w:rPr>
        <w:t>Once the applicant submits an approved application and appropriate licensing fees, a license will be issued for a three-year term, counting the remaining portion of the year issued as a full year. Licenses expire on December 31 of the third year of the license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ARC 9619B</w:t>
      </w:r>
      <w:r>
        <w:rPr>
          <w:rFonts w:ascii="Times New Roman" w:hAnsi="Times New Roman"/>
          <w:b w:val="false"/>
          <w:i w:val="false"/>
          <w:color w:val="000000"/>
          <w:sz w:val="21"/>
        </w:rPr>
        <w:t xml:space="preserve"> (Notice ARC 9486B, IAB 5/4/11)</w:t>
      </w:r>
      <w:r>
        <w:rPr>
          <w:rFonts w:ascii="Times New Roman" w:hAnsi="Times New Roman"/>
          <w:b w:val="false"/>
          <w:i w:val="false"/>
          <w:color w:val="000000"/>
          <w:sz w:val="21"/>
        </w:rPr>
        <w:t>, IAB 7/27/11, effective 8/31/11]</w:t>
      </w:r>
    </w:p>
    <w:p>
      <w:pPr>
        <w:spacing w:before="0" w:after="0"/>
        <w:ind w:left="120"/>
        <w:jc w:val="center"/>
      </w:pPr>
      <w:r>
        <w:rPr>
          <w:rFonts w:ascii="Times New Roman" w:hAnsi="Times New Roman"/>
          <w:b w:val="false"/>
          <w:i w:val="false"/>
          <w:color w:val="000000"/>
          <w:sz w:val="21"/>
        </w:rPr>
        <w:t>[Filed ARC 3242C</w:t>
      </w:r>
      <w:r>
        <w:rPr>
          <w:rFonts w:ascii="Times New Roman" w:hAnsi="Times New Roman"/>
          <w:b w:val="false"/>
          <w:i w:val="false"/>
          <w:color w:val="000000"/>
          <w:sz w:val="21"/>
        </w:rPr>
        <w:t xml:space="preserve"> (Notice ARC 3065C, IAB 5/24/17)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6040C</w:t>
      </w:r>
      <w:r>
        <w:rPr>
          <w:rFonts w:ascii="Times New Roman" w:hAnsi="Times New Roman"/>
          <w:b w:val="false"/>
          <w:i w:val="false"/>
          <w:color w:val="000000"/>
          <w:sz w:val="21"/>
        </w:rPr>
        <w:t xml:space="preserve"> (Notice ARC 5736C, IAB 6/30/21)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[Filed ARC 7767C</w:t>
      </w:r>
      <w:r>
        <w:rPr>
          <w:rFonts w:ascii="Times New Roman" w:hAnsi="Times New Roman"/>
          <w:b w:val="false"/>
          <w:i w:val="false"/>
          <w:color w:val="000000"/>
          <w:sz w:val="21"/>
        </w:rPr>
        <w:t xml:space="preserve"> (Notice ARC 7446C, IAB 1/10/24)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21.pdf" Type="http://schemas.openxmlformats.org/officeDocument/2006/relationships/hyperlink" Id="rId5"/>
    <Relationship TargetMode="External" Target="https://www.legis.iowa.gov/docs/ico/chapter/543B.pdf" Type="http://schemas.openxmlformats.org/officeDocument/2006/relationships/hyperlink" Id="rId6"/>
    <Relationship TargetMode="External" Target="https://www.legis.iowa.gov/docs/iac/rule/193E.5.3.pdf" Type="http://schemas.openxmlformats.org/officeDocument/2006/relationships/hyperlink" Id="rId7"/>
    <Relationship TargetMode="External" Target="https://www.legis.iowa.gov/docs/iac/rule/193E.5.12.pdf" Type="http://schemas.openxmlformats.org/officeDocument/2006/relationships/hyperlink" Id="rId8"/>
    <Relationship TargetMode="External" Target="https://www.legis.iowa.gov/docs/iac/rule/193E.5.3.pdf" Type="http://schemas.openxmlformats.org/officeDocument/2006/relationships/hyperlink" Id="rId9"/>
    <Relationship TargetMode="External" Target="https://www.legis.iowa.gov/docs/iac/rule/193E.5.12.pdf" Type="http://schemas.openxmlformats.org/officeDocument/2006/relationships/hyperlink" Id="rId10"/>
    <Relationship TargetMode="External" Target="https://www.legis.iowa.gov/docs/iac/rule/193E.3.1.pdf" Type="http://schemas.openxmlformats.org/officeDocument/2006/relationships/hyperlink" Id="rId11"/>
    <Relationship TargetMode="External" Target="https://www.legis.iowa.gov/docs/iac/chapter/193E.4.pdf" Type="http://schemas.openxmlformats.org/officeDocument/2006/relationships/hyperlink" Id="rId12"/>
    <Relationship TargetMode="External" Target="https://www.legis.iowa.gov/docs/ico/chapter/543B.pdf" Type="http://schemas.openxmlformats.org/officeDocument/2006/relationships/hyperlink" Id="rId13"/>
    <Relationship TargetMode="External" Target="https://www.legis.iowa.gov/docs/iac/rule/193E.5.3.pdf" Type="http://schemas.openxmlformats.org/officeDocument/2006/relationships/hyperlink" Id="rId14"/>
    <Relationship TargetMode="External" Target="https://www.legis.iowa.gov/docs/ico/chapter/543B.16.pdf" Type="http://schemas.openxmlformats.org/officeDocument/2006/relationships/hyperlink" Id="rId15"/>
    <Relationship TargetMode="External" Target="https://www.legis.iowa.gov/docs/ico/chapter/543B.21.pdf" Type="http://schemas.openxmlformats.org/officeDocument/2006/relationships/hyperlink" Id="rId16"/>
    <Relationship TargetMode="External" Target="https://www.legis.iowa.gov/docs/iac/rule/193E.3.1.pdf" Type="http://schemas.openxmlformats.org/officeDocument/2006/relationships/hyperlink" Id="rId17"/>
    <Relationship TargetMode="External" Target="https://www.legis.iowa.gov/docs/ico/chapter/543B.21.pdf" Type="http://schemas.openxmlformats.org/officeDocument/2006/relationships/hyperlink" Id="rId18"/>
    <Relationship TargetMode="External" Target="https://www.legis.iowa.gov/docs/iac/rule/193E.3.6.pdf" Type="http://schemas.openxmlformats.org/officeDocument/2006/relationships/hyperlink" Id="rId19"/>
    <Relationship TargetMode="External" Target="https://www.legis.iowa.gov/docs/iac/rule/193E.4.6.pdf" Type="http://schemas.openxmlformats.org/officeDocument/2006/relationships/hyperlink" Id="rId20"/>
    <Relationship TargetMode="External" Target="https://www.legis.iowa.gov/docs/ico/chapter/543B.2.pdf" Type="http://schemas.openxmlformats.org/officeDocument/2006/relationships/hyperlink" Id="rId21"/>
    <Relationship TargetMode="External" Target="https://www.legis.iowa.gov/docs/iac/rule/193E.7.1.pdf" Type="http://schemas.openxmlformats.org/officeDocument/2006/relationships/hyperlink" Id="rId22"/>
    <Relationship TargetMode="External" Target="https://www.legis.iowa.gov/docs/iac/rule/193E.2.1.pdf" Type="http://schemas.openxmlformats.org/officeDocument/2006/relationships/hyperlink" Id="rId23"/>
    <Relationship TargetMode="External" Target="https://www.legis.iowa.gov/docs/iac/rule/193E.2.1.pdf" Type="http://schemas.openxmlformats.org/officeDocument/2006/relationships/hyperlink" Id="rId24"/>
    <Relationship TargetMode="External" Target="https://www.legis.iowa.gov/docs/ico/chapter/543B.22.pdf" Type="http://schemas.openxmlformats.org/officeDocument/2006/relationships/hyperlink" Id="rId25"/>
    <Relationship TargetMode="External" Target="https://www.legis.iowa.gov/docs/ico/chapter/543B.23.pdf" Type="http://schemas.openxmlformats.org/officeDocument/2006/relationships/hyperlink" Id="rId26"/>
    <Relationship TargetMode="External" Target="https://www.legis.iowa.gov/docs/ico/chapter/543B.29.pdf" Type="http://schemas.openxmlformats.org/officeDocument/2006/relationships/hyperlink" Id="rId27"/>
    <Relationship TargetMode="External" Target="https://www.legis.iowa.gov/docs/iac/rule/193.14.4.pdf" Type="http://schemas.openxmlformats.org/officeDocument/2006/relationships/hyperlink" Id="rId28"/>
    <Relationship TargetMode="External" Target="https://www.legis.iowa.gov/docs/iac/rule/193.14.4.pdf" Type="http://schemas.openxmlformats.org/officeDocument/2006/relationships/hyperlink" Id="rId29"/>
    <Relationship TargetMode="External" Target="https://www.legis.iowa.gov/docs/ico/chapter/17A.pdf" Type="http://schemas.openxmlformats.org/officeDocument/2006/relationships/hyperlink" Id="rId30"/>
    <Relationship TargetMode="External" Target="https://www.legis.iowa.gov/docs/ico/chapter/272C.pdf" Type="http://schemas.openxmlformats.org/officeDocument/2006/relationships/hyperlink" Id="rId31"/>
    <Relationship TargetMode="External" Target="https://www.legis.iowa.gov/docs/ico/chapter/543B.pdf" Type="http://schemas.openxmlformats.org/officeDocument/2006/relationships/hyperlink"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