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BROKER LICENSE</w:t>
      </w:r>
    </w:p>
    <w:p>
      <w:pPr>
        <w:spacing w:before="0" w:after="0"/>
        <w:ind w:left="120"/>
        <w:jc w:val="center"/>
      </w:pPr>
      <w:r>
        <w:rPr>
          <w:rFonts w:ascii="Times New Roman" w:hAnsi="Times New Roman"/>
          <w:b w:val="false"/>
          <w:i w:val="false"/>
          <w:color w:val="000000"/>
          <w:sz w:val="14"/>
        </w:rPr>
        <w:t>[Prior to 6/15/88, see Real Estate Commission[700] Ch 3]</w:t>
      </w:r>
    </w:p>
    <w:p>
      <w:pPr>
        <w:spacing w:before="0" w:after="0"/>
        <w:ind w:left="120"/>
        <w:jc w:val="center"/>
      </w:pPr>
      <w:r>
        <w:rPr>
          <w:rFonts w:ascii="Times New Roman" w:hAnsi="Times New Roman"/>
          <w:b w:val="false"/>
          <w:i w:val="false"/>
          <w:color w:val="000000"/>
          <w:sz w:val="14"/>
        </w:rPr>
        <w:t>[Prior to 9/4/02, see 193E—2.10(543B) to 193E—2.12(543B) and 193E—3.3(543B)]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193E—3.1</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licensure. </w:t>
      </w:r>
      <w:r>
        <w:rPr>
          <w:rFonts w:ascii="Times New Roman" w:hAnsi="Times New Roman"/>
          <w:b w:val="false"/>
          <w:i w:val="false"/>
          <w:color w:val="000000"/>
          <w:sz w:val="22"/>
        </w:rPr>
        <w:t xml:space="preserve">An applicant is only eligible for a broker license by satisfying Iowa Code section </w:t>
      </w:r>
      <w:hyperlink r:id="rId5">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real estate broker’s license who has been convicted of a disqualifying criminal offense in a court of competent jurisdiction in this state or in any other state, territory, or district of the United States, or in any foreign jurisdiction, may be denied a license by the commission on the grounds of the conviction as provided by Iowa Code section </w:t>
      </w:r>
      <w:hyperlink r:id="rId6">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193—15.2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broker license may use active experience as a former Iowa salesperson or active salesperson experience in another state or jurisdiction, or a combination of both, to satisfy the experience requirement for a broker license under Iowa Code section </w:t>
      </w:r>
      <w:hyperlink r:id="rId8">
        <w:r>
          <w:rPr>
            <w:rStyle w:val="Hyperlink"/>
            <w:rFonts w:ascii="Times New Roman" w:hAnsi="Times New Roman"/>
            <w:b w:val="false"/>
            <w:i w:val="false"/>
            <w:color w:val="000000"/>
            <w:sz w:val="22"/>
          </w:rPr>
          <w:t>543B.15(7)</w:t>
        </w:r>
      </w:hyperlink>
      <w:r>
        <w:rPr>
          <w:rFonts w:ascii="Times New Roman" w:hAnsi="Times New Roman"/>
          <w:b w:val="false"/>
          <w:i w:val="false"/>
          <w:color w:val="000000"/>
          <w:sz w:val="22"/>
        </w:rPr>
        <w:t xml:space="preserve"> only if the former Iowa salesperson or applicant from another state or jurisdiction was actively licensed for not less than 24 months and if the license on which the experience is based has not been expired for more than three years prior to the date the completed broker application with fee is filed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193E—3.2</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examination. </w:t>
      </w:r>
      <w:r>
        <w:rPr>
          <w:rFonts w:ascii="Times New Roman" w:hAnsi="Times New Roman"/>
          <w:b w:val="false"/>
          <w:i w:val="false"/>
          <w:color w:val="000000"/>
          <w:sz w:val="22"/>
        </w:rPr>
        <w:t>Examinations for licensure as a real estate broker are conducted by the commission’s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color w:val="000000"/>
          <w:sz w:val="22"/>
        </w:rPr>
        <w:t xml:space="preserve">Testing service. </w:t>
      </w:r>
      <w:r>
        <w:rPr>
          <w:rFonts w:ascii="Times New Roman" w:hAnsi="Times New Roman"/>
          <w:b w:val="false"/>
          <w:i w:val="false"/>
          <w:color w:val="000000"/>
          <w:sz w:val="22"/>
        </w:rPr>
        <w:t>The commission will negotiate an agreement with a testing service relating to examination development, test scheduling, examination sites, grade reporting and analysis. The commission approves the form, contract, and method of administration. The examination is conducted in accordance with approved procedures formulated by the testing agency. Applicants register and pay examination fees directly to the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 </w:t>
      </w:r>
      <w:r>
        <w:rPr>
          <w:rFonts w:ascii="Times New Roman" w:hAnsi="Times New Roman"/>
          <w:b w:val="false"/>
          <w:i w:val="false"/>
          <w:color w:val="000000"/>
          <w:sz w:val="22"/>
        </w:rPr>
        <w:t>The commission will consider each request for a waiver of commission rules or of the qualifications for licensure on an individual basis. The commission may require additional supporting information. If the applicant’s experience or prelicense education is found to be less than equivalent to the statutory requirement, the commission may suggest methods of satisfying the deficiency. If a waiver is granted, the applicable examination must be passed before the end of the sixth month following the date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color w:val="000000"/>
          <w:sz w:val="22"/>
        </w:rPr>
        <w:t xml:space="preserve">Eligibility to sit for examination. </w:t>
      </w:r>
      <w:r>
        <w:rPr>
          <w:rFonts w:ascii="Times New Roman" w:hAnsi="Times New Roman"/>
          <w:b w:val="false"/>
          <w:i w:val="false"/>
          <w:color w:val="000000"/>
          <w:sz w:val="22"/>
        </w:rPr>
        <w:t xml:space="preserve">An individual may only sit for the examination after meeting the qualifications set out in Iowa Code section </w:t>
      </w:r>
      <w:hyperlink r:id="rId9">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An examinee is obligated to show one of the following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prelicense education has been completed within the last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letter from the commission granting a waiver of prelicense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authorization from the commission for individuals planning to qualify under rule </w:t>
      </w:r>
      <w:hyperlink r:id="rId10">
        <w:r>
          <w:rPr>
            <w:rStyle w:val="Hyperlink"/>
            <w:rFonts w:ascii="Times New Roman" w:hAnsi="Times New Roman"/>
            <w:b w:val="false"/>
            <w:i w:val="false"/>
            <w:color w:val="000000"/>
            <w:sz w:val="22"/>
          </w:rPr>
          <w:t>193E—5.3</w:t>
        </w:r>
      </w:hyperlink>
      <w:r>
        <w:rPr>
          <w:rFonts w:ascii="Times New Roman" w:hAnsi="Times New Roman"/>
          <w:b w:val="false"/>
          <w:i w:val="false"/>
          <w:color w:val="000000"/>
          <w:sz w:val="22"/>
        </w:rPr>
        <w:t xml:space="preserve">(543B) or </w:t>
      </w:r>
      <w:hyperlink r:id="rId11">
        <w:r>
          <w:rPr>
            <w:rStyle w:val="Hyperlink"/>
            <w:rFonts w:ascii="Times New Roman" w:hAnsi="Times New Roman"/>
            <w:b w:val="false"/>
            <w:i w:val="false"/>
            <w:color w:val="000000"/>
            <w:sz w:val="22"/>
          </w:rPr>
          <w:t>193E—5.12</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authorization from the commission for individuals planning to seek reinstatement of an expired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color w:val="000000"/>
          <w:sz w:val="22"/>
        </w:rPr>
        <w:t xml:space="preserve">Failure to pass examination. </w:t>
      </w:r>
      <w:r>
        <w:rPr>
          <w:rFonts w:ascii="Times New Roman" w:hAnsi="Times New Roman"/>
          <w:b w:val="false"/>
          <w:i w:val="false"/>
          <w:color w:val="000000"/>
          <w:sz w:val="22"/>
        </w:rPr>
        <w:t>An examinee who takes an examination and fails is eligible to apply to retake the examination at any time the examination is offered by filing a new registration form and paying the examination fee, unless the qualifying time period for the prelicense education or granted waiver has expired.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193E—3.3</w:t>
      </w:r>
      <w:r>
        <w:rPr>
          <w:rFonts w:ascii="Times New Roman" w:hAnsi="Times New Roman"/>
          <w:b/>
          <w:i w:val="false"/>
          <w:color w:val="000000"/>
          <w:sz w:val="22"/>
        </w:rPr>
        <w:t xml:space="preserve">(543B) </w:t>
      </w:r>
      <w:r>
        <w:rPr>
          <w:rFonts w:ascii="Times New Roman" w:hAnsi="Times New Roman"/>
          <w:b/>
          <w:i w:val="false"/>
          <w:color w:val="000000"/>
          <w:sz w:val="22"/>
        </w:rPr>
        <w:t xml:space="preserve">Application for broker license. </w:t>
      </w:r>
      <w:r>
        <w:rPr>
          <w:rFonts w:ascii="Times New Roman" w:hAnsi="Times New Roman"/>
          <w:b w:val="false"/>
          <w:i w:val="false"/>
          <w:color w:val="000000"/>
          <w:sz w:val="22"/>
        </w:rPr>
        <w:t xml:space="preserve">An applicant who applies for a broker’s license will submit to the commission a completed application, license fee, proof of required education, and test score reports not later than the last working day of the sixth calendar month following the qualifying real estate examination. As required by Iowa Code section </w:t>
      </w:r>
      <w:hyperlink r:id="rId12">
        <w:r>
          <w:rPr>
            <w:rStyle w:val="Hyperlink"/>
            <w:rFonts w:ascii="Times New Roman" w:hAnsi="Times New Roman"/>
            <w:b w:val="false"/>
            <w:i w:val="false"/>
            <w:color w:val="000000"/>
            <w:sz w:val="22"/>
          </w:rPr>
          <w:t>543B.15(9)</w:t>
        </w:r>
      </w:hyperlink>
      <w:r>
        <w:rPr>
          <w:rFonts w:ascii="Times New Roman" w:hAnsi="Times New Roman"/>
          <w:b w:val="false"/>
          <w:i w:val="false"/>
          <w:color w:val="000000"/>
          <w:sz w:val="22"/>
        </w:rPr>
        <w:t>, the completed application must be received within 210 calendar days of the completion of the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The applicant for licensure attests to the accuracy of the detailed personal, financial, and business information concerning the applicant included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License terms. </w:t>
      </w:r>
      <w:r>
        <w:rPr>
          <w:rFonts w:ascii="Times New Roman" w:hAnsi="Times New Roman"/>
          <w:b w:val="false"/>
          <w:i w:val="false"/>
          <w:color w:val="000000"/>
          <w:sz w:val="22"/>
        </w:rPr>
        <w:t>Real estate broker, salesperson, trade name, branch office, and firm licenses are issued for a three-year term, counting the remaining portion of the year issued as a full year. Licenses expire on December 31 of the third year of the license term. Branch office licenses and trade name licenses are issued for the remaining portion of the license term of the license to which each is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1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rule </w:t>
      </w:r>
      <w:hyperlink r:id="rId14">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193E—3.4</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To renew a license in active status, each broker or broker associate completes a minimum of 36 hours of approved programs, courses or activities.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 xml:space="preserve">Brokers and broker associates complete approved courses in the following subjects to renew to active status, except in accordance with </w:t>
      </w:r>
      <w:hyperlink r:id="rId15">
        <w:r>
          <w:rPr>
            <w:rStyle w:val="Hyperlink"/>
            <w:rFonts w:ascii="Times New Roman" w:hAnsi="Times New Roman"/>
            <w:b w:val="false"/>
            <w:i w:val="false"/>
            <w:color w:val="000000"/>
            <w:sz w:val="22"/>
          </w:rPr>
          <w:t>193E—Chapter 16</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Law Update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hours</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Ethics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hours</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Electives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 hours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val="false"/>
          <w:color w:val="000000"/>
          <w:sz w:val="22"/>
        </w:rPr>
        <w:t>A license may be renewed in inactive status without the completion of continuing education. Prior to reactivating a license that has been issued inactive due to the licensee’s failure to submit evidence of continuing education, the licensee submits an application to reactivate to active status with evidence that all deficient continuing education hours have been completed.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193E—3.5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Renewing a broker license. </w:t>
      </w:r>
      <w:r>
        <w:rPr>
          <w:rFonts w:ascii="Times New Roman" w:hAnsi="Times New Roman"/>
          <w:b w:val="false"/>
          <w:i w:val="false"/>
          <w:color w:val="000000"/>
          <w:sz w:val="22"/>
        </w:rPr>
        <w:t>To remain authorized to act as a real estate broker, a broker renews a real estate license before the expiration date of the license. Brokers who fail to renew a real estate license before expiration are not authorized to practice as real estate brokers in Iowa. Termination of a broker’s authority to practice real estate in Iowa automatically terminates the authority of all salespersons employed by or assigned to the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Applications for renewal of a broker’s license may be found on the commission’s website. Brokers renew electronically. While the commission generally mails reminders to brokers in the November preceding license expiration, the failure of the commission to mail a reminder does not excuse the broker from the requirement to renew prior to the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renewal. </w:t>
      </w:r>
      <w:r>
        <w:rPr>
          <w:rFonts w:ascii="Times New Roman" w:hAnsi="Times New Roman"/>
          <w:b w:val="false"/>
          <w:i w:val="false"/>
          <w:color w:val="000000"/>
          <w:sz w:val="22"/>
        </w:rPr>
        <w:t>The commission grants an application to renew a broker’s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timely received by the commission by December 31, or within the 30-day grace period after expiration as provided by Iowa Code section </w:t>
      </w:r>
      <w:hyperlink r:id="rId16">
        <w:r>
          <w:rPr>
            <w:rStyle w:val="Hyperlink"/>
            <w:rFonts w:ascii="Times New Roman" w:hAnsi="Times New Roman"/>
            <w:b w:val="false"/>
            <w:i w:val="false"/>
            <w:color w:val="000000"/>
            <w:sz w:val="22"/>
          </w:rPr>
          <w:t>543B.28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the regular renewal fee and, if received by the commission after midnight December 31 but prior to midnight January 30, is accompanied by a penalty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with all necessary information, including proper disclosure of completed continuing education and errors and omissions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include grounds to deny a license, such as the revocation of a license in another jurisdiction or a criminal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color w:val="000000"/>
          <w:sz w:val="22"/>
        </w:rPr>
        <w:t xml:space="preserve">Incomplete or untimely applications to renew. </w:t>
      </w:r>
      <w:r>
        <w:rPr>
          <w:rFonts w:ascii="Times New Roman" w:hAnsi="Times New Roman"/>
          <w:b w:val="false"/>
          <w:i w:val="false"/>
          <w:color w:val="000000"/>
          <w:sz w:val="22"/>
        </w:rPr>
        <w:t xml:space="preserve">Renewal applications received by the commission after midnight January 30 will be treated as applications to reinstate an expired license under rule </w:t>
      </w:r>
      <w:hyperlink r:id="rId17">
        <w:r>
          <w:rPr>
            <w:rStyle w:val="Hyperlink"/>
            <w:rFonts w:ascii="Times New Roman" w:hAnsi="Times New Roman"/>
            <w:b w:val="false"/>
            <w:i w:val="false"/>
            <w:color w:val="000000"/>
            <w:sz w:val="22"/>
          </w:rPr>
          <w:t>193E—3.6</w:t>
        </w:r>
      </w:hyperlink>
      <w:r>
        <w:rPr>
          <w:rFonts w:ascii="Times New Roman" w:hAnsi="Times New Roman"/>
          <w:b w:val="false"/>
          <w:i w:val="false"/>
          <w:color w:val="000000"/>
          <w:sz w:val="22"/>
        </w:rPr>
        <w:t>(272C,543B).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to renew or reinstate a broker’s license which are incomplete or which are not accompanied by the proper fee may be returned to the broker for additional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Alternatively, the commission may retain the application, and notify the applicant that the application cannot be granted without further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color w:val="000000"/>
          <w:sz w:val="22"/>
        </w:rPr>
        <w:t xml:space="preserve">Insufficient continuing education. </w:t>
      </w:r>
      <w:r>
        <w:rPr>
          <w:rFonts w:ascii="Times New Roman" w:hAnsi="Times New Roman"/>
          <w:b w:val="false"/>
          <w:i w:val="false"/>
          <w:color w:val="000000"/>
          <w:sz w:val="22"/>
        </w:rPr>
        <w:t xml:space="preserve">Renewal applications which do not report completion of required continuing education, but which are otherwise timely and sufficient and accompanied with the proper fee, are renewed in inactive status. In the event of a factual dispute regarding the broker’s intent to renew in inactive status or a broker’s completion of continuing education, the commission may deny the application and provide the applicant with an opportunity for hearing according to the procedures set forth in rule </w:t>
      </w:r>
      <w:hyperlink r:id="rId18">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to renew. </w:t>
      </w:r>
      <w:r>
        <w:rPr>
          <w:rFonts w:ascii="Times New Roman" w:hAnsi="Times New Roman"/>
          <w:b w:val="false"/>
          <w:i w:val="false"/>
          <w:color w:val="000000"/>
          <w:sz w:val="22"/>
        </w:rPr>
        <w:t xml:space="preserve">An application to renew may be denied on the grounds provided in Iowa Code chapter </w:t>
      </w:r>
      <w:hyperlink r:id="rId1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rule </w:t>
      </w:r>
      <w:hyperlink r:id="rId20">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 The administrative processing of an application to renew does not prevent the later initiation of a contested case to challenge a licensee’s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w:t>
      </w:r>
      <w:r>
        <w:rPr>
          <w:rFonts w:ascii="Times New Roman" w:hAnsi="Times New Roman"/>
          <w:b w:val="false"/>
          <w:i w:val="false"/>
          <w:color w:val="000000"/>
          <w:sz w:val="22"/>
        </w:rPr>
        <w:t> </w:t>
      </w:r>
      <w:r>
        <w:rPr>
          <w:rFonts w:ascii="Times New Roman" w:hAnsi="Times New Roman"/>
          <w:b w:val="false"/>
          <w:i/>
          <w:color w:val="000000"/>
          <w:sz w:val="22"/>
        </w:rPr>
        <w:t xml:space="preserve">Renewal of inactive or suspended license. </w:t>
      </w:r>
      <w:r>
        <w:rPr>
          <w:rFonts w:ascii="Times New Roman" w:hAnsi="Times New Roman"/>
          <w:b w:val="false"/>
          <w:i w:val="false"/>
          <w:color w:val="000000"/>
          <w:sz w:val="22"/>
        </w:rPr>
        <w:t>An inactive or suspended license expires if not timely renewed. The status of a license does not affect the requirement to renew.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193E—3.6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Reinstatement of an expired broker license. </w:t>
      </w:r>
      <w:r>
        <w:rPr>
          <w:rFonts w:ascii="Times New Roman" w:hAnsi="Times New Roman"/>
          <w:b w:val="false"/>
          <w:i w:val="false"/>
          <w:color w:val="000000"/>
          <w:sz w:val="22"/>
        </w:rPr>
        <w:t>A real estate broker who fails to renew or file a completed renewal application by midnight January 30 of the first year following expiration may reinstate the license within three years of expiration by submitting a complete and sufficient application accompanied by the regular renewal fee and an additional reinstatement fee of $25 for each partial or full month following expiration. From the date of expiration to the date of reinstatement, the broker is not authorized to practice as a real estate broker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 broker either fully satisfied all continuing education or has retaken and passed the broker examination to reinstate an expired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Starting over. </w:t>
      </w:r>
      <w:r>
        <w:rPr>
          <w:rFonts w:ascii="Times New Roman" w:hAnsi="Times New Roman"/>
          <w:b w:val="false"/>
          <w:i w:val="false"/>
          <w:color w:val="000000"/>
          <w:sz w:val="22"/>
        </w:rPr>
        <w:t>A broker who fails to reinstate an expired license by December 31 of the third year following expiration is treated as if the former broker had never been licensed in Iowa. Such a former broker starts over in the licensing process and must first qualify and apply for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21">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rule </w:t>
      </w:r>
      <w:hyperlink r:id="rId22">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5/7/04, Notice 2/18/04—published 5/26/04, effective 6/30/04]</w:t>
      </w:r>
    </w:p>
    <w:p>
      <w:pPr>
        <w:spacing w:before="0" w:after="0"/>
        <w:ind w:left="120"/>
        <w:jc w:val="center"/>
      </w:pPr>
      <w:r>
        <w:rPr>
          <w:rFonts w:ascii="Times New Roman" w:hAnsi="Times New Roman"/>
          <w:b w:val="false"/>
          <w:i w:val="false"/>
          <w:color w:val="000000"/>
          <w:sz w:val="21"/>
        </w:rPr>
        <w:t>[Filed 7/25/05, Notice 6/8/05—published 8/17/05, effective 9/21/05]</w:t>
      </w:r>
    </w:p>
    <w:p>
      <w:pPr>
        <w:spacing w:before="0" w:after="0"/>
        <w:ind w:left="120"/>
        <w:jc w:val="center"/>
      </w:pPr>
      <w:r>
        <w:rPr>
          <w:rFonts w:ascii="Times New Roman" w:hAnsi="Times New Roman"/>
          <w:b w:val="false"/>
          <w:i w:val="false"/>
          <w:color w:val="000000"/>
          <w:sz w:val="21"/>
        </w:rPr>
        <w:t>[Filed ARC 3242C</w:t>
      </w:r>
      <w:r>
        <w:rPr>
          <w:rFonts w:ascii="Times New Roman" w:hAnsi="Times New Roman"/>
          <w:b w:val="false"/>
          <w:i w:val="false"/>
          <w:color w:val="000000"/>
          <w:sz w:val="21"/>
        </w:rPr>
        <w:t xml:space="preserve"> (Notice ARC 3065C,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7765C</w:t>
      </w:r>
      <w:r>
        <w:rPr>
          <w:rFonts w:ascii="Times New Roman" w:hAnsi="Times New Roman"/>
          <w:b w:val="false"/>
          <w:i w:val="false"/>
          <w:color w:val="000000"/>
          <w:sz w:val="21"/>
        </w:rPr>
        <w:t xml:space="preserve"> (Notice ARC 7444C,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9245C</w:t>
      </w:r>
      <w:r>
        <w:rPr>
          <w:rFonts w:ascii="Times New Roman" w:hAnsi="Times New Roman"/>
          <w:b w:val="false"/>
          <w:i w:val="false"/>
          <w:color w:val="000000"/>
          <w:sz w:val="21"/>
        </w:rPr>
        <w:t xml:space="preserve"> (Notice ARC 8852C, IAB 2/19/25)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15.pdf" Type="http://schemas.openxmlformats.org/officeDocument/2006/relationships/hyperlink" Id="rId5"/>
    <Relationship TargetMode="External" Target="https://www.legis.iowa.gov/docs/ico/chapter/272C.15.pdf" Type="http://schemas.openxmlformats.org/officeDocument/2006/relationships/hyperlink" Id="rId6"/>
    <Relationship TargetMode="External" Target="https://www.legis.iowa.gov/docs/iac/rule/193.15.2.pdf" Type="http://schemas.openxmlformats.org/officeDocument/2006/relationships/hyperlink" Id="rId7"/>
    <Relationship TargetMode="External" Target="https://www.legis.iowa.gov/docs/ico/chapter/543B.15.pdf" Type="http://schemas.openxmlformats.org/officeDocument/2006/relationships/hyperlink" Id="rId8"/>
    <Relationship TargetMode="External" Target="https://www.legis.iowa.gov/docs/ico/chapter/543B.15.pdf" Type="http://schemas.openxmlformats.org/officeDocument/2006/relationships/hyperlink" Id="rId9"/>
    <Relationship TargetMode="External" Target="https://www.legis.iowa.gov/docs/iac/rule/193E.5.3.pdf" Type="http://schemas.openxmlformats.org/officeDocument/2006/relationships/hyperlink" Id="rId10"/>
    <Relationship TargetMode="External" Target="https://www.legis.iowa.gov/docs/iac/rule/193E.5.12.pdf" Type="http://schemas.openxmlformats.org/officeDocument/2006/relationships/hyperlink" Id="rId11"/>
    <Relationship TargetMode="External" Target="https://www.legis.iowa.gov/docs/ico/chapter/543B.15.pdf" Type="http://schemas.openxmlformats.org/officeDocument/2006/relationships/hyperlink" Id="rId12"/>
    <Relationship TargetMode="External" Target="https://www.legis.iowa.gov/docs/ico/chapter/543B.pdf" Type="http://schemas.openxmlformats.org/officeDocument/2006/relationships/hyperlink" Id="rId13"/>
    <Relationship TargetMode="External" Target="https://www.legis.iowa.gov/docs/iac/rule/193.7.39.pdf" Type="http://schemas.openxmlformats.org/officeDocument/2006/relationships/hyperlink" Id="rId14"/>
    <Relationship TargetMode="External" Target="https://www.legis.iowa.gov/docs/iac/chapter/193E.16.pdf" Type="http://schemas.openxmlformats.org/officeDocument/2006/relationships/hyperlink" Id="rId15"/>
    <Relationship TargetMode="External" Target="https://www.legis.iowa.gov/docs/ico/chapter/543B.28.pdf" Type="http://schemas.openxmlformats.org/officeDocument/2006/relationships/hyperlink" Id="rId16"/>
    <Relationship TargetMode="External" Target="https://www.legis.iowa.gov/docs/iac/rule/193E.3.6.pdf" Type="http://schemas.openxmlformats.org/officeDocument/2006/relationships/hyperlink" Id="rId17"/>
    <Relationship TargetMode="External" Target="https://www.legis.iowa.gov/docs/iac/rule/193.7.39.pdf" Type="http://schemas.openxmlformats.org/officeDocument/2006/relationships/hyperlink" Id="rId18"/>
    <Relationship TargetMode="External" Target="https://www.legis.iowa.gov/docs/ico/chapter/543B.pdf" Type="http://schemas.openxmlformats.org/officeDocument/2006/relationships/hyperlink" Id="rId19"/>
    <Relationship TargetMode="External" Target="https://www.legis.iowa.gov/docs/iac/rule/193.7.39.pdf" Type="http://schemas.openxmlformats.org/officeDocument/2006/relationships/hyperlink" Id="rId20"/>
    <Relationship TargetMode="External" Target="https://www.legis.iowa.gov/docs/ico/chapter/543B.pdf" Type="http://schemas.openxmlformats.org/officeDocument/2006/relationships/hyperlink" Id="rId21"/>
    <Relationship TargetMode="External" Target="https://www.legis.iowa.gov/docs/iac/rule/193.7.39.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272C.pdf" Type="http://schemas.openxmlformats.org/officeDocument/2006/relationships/hyperlink" Id="rId24"/>
    <Relationship TargetMode="External" Target="https://www.legis.iowa.gov/docs/ico/chapter/543B.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