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ENFORCEMENT PROCEEDINGS AGAINST UNLICENSED PERSONS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193E—21.1</w:t>
      </w:r>
      <w:r>
        <w:rPr>
          <w:rFonts w:ascii="Times New Roman" w:hAnsi="Times New Roman"/>
          <w:b/>
          <w:i w:val="false"/>
          <w:color w:val="000000"/>
          <w:sz w:val="22"/>
        </w:rPr>
        <w:t xml:space="preserve">(17A,543B) </w:t>
      </w:r>
      <w:r>
        <w:rPr>
          <w:rFonts w:ascii="Times New Roman" w:hAnsi="Times New Roman"/>
          <w:b/>
          <w:i w:val="false"/>
          <w:color w:val="000000"/>
          <w:sz w:val="22"/>
        </w:rPr>
        <w:t xml:space="preserve">Civil penalties against unlicensed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Commission authority. </w:t>
      </w:r>
      <w:r>
        <w:rPr>
          <w:rFonts w:ascii="Times New Roman" w:hAnsi="Times New Roman"/>
          <w:b w:val="false"/>
          <w:i w:val="false"/>
          <w:color w:val="000000"/>
          <w:sz w:val="22"/>
        </w:rPr>
        <w:t xml:space="preserve">The commission is authorized to issue a cease and desist order and to impose a civil penalty as authorized by Iowa Code section </w:t>
      </w:r>
      <w:hyperlink r:id="rId5">
        <w:r>
          <w:rPr>
            <w:rStyle w:val="Hyperlink"/>
            <w:rFonts w:ascii="Times New Roman" w:hAnsi="Times New Roman"/>
            <w:b w:val="false"/>
            <w:i w:val="false"/>
            <w:color w:val="000000"/>
            <w:sz w:val="22"/>
          </w:rPr>
          <w:t>543B.34(3)</w:t>
        </w:r>
      </w:hyperlink>
      <w:r>
        <w:rPr>
          <w:rFonts w:ascii="Times New Roman" w:hAnsi="Times New Roman"/>
          <w:b w:val="false"/>
          <w:i w:val="false"/>
          <w:color w:val="000000"/>
          <w:sz w:val="22"/>
        </w:rPr>
        <w:t xml:space="preserve"> against any person who is not licensed by the commission but who acts in the capacity of a real estate broker or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Unlicensed person. </w:t>
      </w:r>
      <w:r>
        <w:rPr>
          <w:rFonts w:ascii="Times New Roman" w:hAnsi="Times New Roman"/>
          <w:b w:val="false"/>
          <w:i w:val="false"/>
          <w:color w:val="000000"/>
          <w:sz w:val="22"/>
        </w:rPr>
        <w:t xml:space="preserve">An “unlicensed person” includes any individual or business entity that has never been licensed by the commission, has voluntarily surrendered a license issued by the commission, or has allowed a license issued by the commission to lapse and the time in which the license could have been reinstated pursuant to </w:t>
      </w:r>
      <w:hyperlink r:id="rId6">
        <w:r>
          <w:rPr>
            <w:rStyle w:val="Hyperlink"/>
            <w:rFonts w:ascii="Times New Roman" w:hAnsi="Times New Roman"/>
            <w:b w:val="false"/>
            <w:i w:val="false"/>
            <w:color w:val="000000"/>
            <w:sz w:val="22"/>
          </w:rPr>
          <w:t>rule 193E—3.6(272C,543B)</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193E—4.6(272C,543B)</w:t>
        </w:r>
      </w:hyperlink>
      <w:r>
        <w:rPr>
          <w:rFonts w:ascii="Times New Roman" w:hAnsi="Times New Roman"/>
          <w:b w:val="false"/>
          <w:i w:val="false"/>
          <w:color w:val="000000"/>
          <w:sz w:val="22"/>
        </w:rPr>
        <w:t xml:space="preserve"> has 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193E—21.2</w:t>
      </w:r>
      <w:r>
        <w:rPr>
          <w:rFonts w:ascii="Times New Roman" w:hAnsi="Times New Roman"/>
          <w:b/>
          <w:i w:val="false"/>
          <w:color w:val="000000"/>
          <w:sz w:val="22"/>
        </w:rPr>
        <w:t xml:space="preserve">(17A,543B) </w:t>
      </w:r>
      <w:r>
        <w:rPr>
          <w:rFonts w:ascii="Times New Roman" w:hAnsi="Times New Roman"/>
          <w:b/>
          <w:i w:val="false"/>
          <w:color w:val="000000"/>
          <w:sz w:val="22"/>
        </w:rPr>
        <w:t xml:space="preserve">Unlawful practices. </w:t>
      </w:r>
      <w:r>
        <w:rPr>
          <w:rFonts w:ascii="Times New Roman" w:hAnsi="Times New Roman"/>
          <w:b w:val="false"/>
          <w:i w:val="false"/>
          <w:color w:val="000000"/>
          <w:sz w:val="22"/>
        </w:rPr>
        <w:t>Practices by unlicensed persons that are subject to civil penalties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Acts or practices by unlicensed persons that need licensure pursuant to Iowa Code sections </w:t>
      </w:r>
      <w:hyperlink r:id="rId8">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and 543B.56A and that do not fall into the exceptions listed in Iowa Code section </w:t>
      </w:r>
      <w:hyperlink r:id="rId11">
        <w:r>
          <w:rPr>
            <w:rStyle w:val="Hyperlink"/>
            <w:rFonts w:ascii="Times New Roman" w:hAnsi="Times New Roman"/>
            <w:b w:val="false"/>
            <w:i w:val="false"/>
            <w:color w:val="000000"/>
            <w:sz w:val="22"/>
          </w:rPr>
          <w:t>543B.7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Violating Iowa Code section </w:t>
      </w:r>
      <w:hyperlink r:id="rId12">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Violating one or more of the provisions of Iowa Code section </w:t>
      </w:r>
      <w:hyperlink r:id="rId13">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as they relate to acts or practices by unlicensed persons.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or attempted use of a licensee’s license or an expired, suspended, revoked, or nonexistent license.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Falsely impersonating a licensed real estate professional.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Providing false or forged evidence of any kind to the commission in obtaining or attempting to obtain a license.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Knowingly aiding or abetting an unlicensed person in any activity identified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9251C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193E—21.3</w:t>
      </w:r>
      <w:r>
        <w:rPr>
          <w:rFonts w:ascii="Times New Roman" w:hAnsi="Times New Roman"/>
          <w:b/>
          <w:i w:val="false"/>
          <w:color w:val="000000"/>
          <w:sz w:val="22"/>
        </w:rPr>
        <w:t xml:space="preserve">(17A,543B)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commission is authorized by Iowa Code sections </w:t>
      </w:r>
      <w:hyperlink r:id="rId1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543B.34(3)</w:t>
        </w:r>
      </w:hyperlink>
      <w:r>
        <w:rPr>
          <w:rFonts w:ascii="Times New Roman" w:hAnsi="Times New Roman"/>
          <w:b w:val="false"/>
          <w:i w:val="false"/>
          <w:color w:val="000000"/>
          <w:sz w:val="22"/>
        </w:rPr>
        <w:t xml:space="preserve"> to conduct such investigations as are needed to determine whether grounds exist to issue a cease and desist order and to impose civil penalties against an unlicensed person. Such investigations conform to the procedures outlined in </w:t>
      </w:r>
      <w:hyperlink r:id="rId16">
        <w:r>
          <w:rPr>
            <w:rStyle w:val="Hyperlink"/>
            <w:rFonts w:ascii="Times New Roman" w:hAnsi="Times New Roman"/>
            <w:b w:val="false"/>
            <w:i w:val="false"/>
            <w:color w:val="000000"/>
            <w:sz w:val="22"/>
          </w:rPr>
          <w:t>193—Chapter 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193E—Chapter 18</w:t>
        </w:r>
      </w:hyperlink>
      <w:r>
        <w:rPr>
          <w:rFonts w:ascii="Times New Roman" w:hAnsi="Times New Roman"/>
          <w:b w:val="false"/>
          <w:i w:val="false"/>
          <w:color w:val="000000"/>
          <w:sz w:val="22"/>
        </w:rPr>
        <w:t xml:space="preserve">. Complaint and investigatory files concerning unlicensed persons are not confidential except as may be provided in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193E—21.4</w:t>
      </w:r>
      <w:r>
        <w:rPr>
          <w:rFonts w:ascii="Times New Roman" w:hAnsi="Times New Roman"/>
          <w:b/>
          <w:i w:val="false"/>
          <w:color w:val="000000"/>
          <w:sz w:val="22"/>
        </w:rPr>
        <w:t xml:space="preserve">(17A,543B) </w:t>
      </w:r>
      <w:r>
        <w:rPr>
          <w:rFonts w:ascii="Times New Roman" w:hAnsi="Times New Roman"/>
          <w:b/>
          <w:i w:val="false"/>
          <w:color w:val="000000"/>
          <w:sz w:val="22"/>
        </w:rPr>
        <w:t xml:space="preserve">Subpoenas. </w:t>
      </w:r>
      <w:r>
        <w:rPr>
          <w:rFonts w:ascii="Times New Roman" w:hAnsi="Times New Roman"/>
          <w:b w:val="false"/>
          <w:i w:val="false"/>
          <w:color w:val="000000"/>
          <w:sz w:val="22"/>
        </w:rPr>
        <w:t xml:space="preserve">Pursuant to Iowa Code sections </w:t>
      </w:r>
      <w:hyperlink r:id="rId19">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the commission is authorized in connection with an investigation of an unlicensed person to issue subpoenas to compel persons to produce books, papers, records and any other real evidence, whether or not privileged or confidential under law, which the commission deems necessary as evidence in connection with the civil penalty proceeding or relevant to the decision of whether to initiate a civil penalty proceeding. Commission procedures concerning investigatory subpoenas are set forth in </w:t>
      </w:r>
      <w:hyperlink r:id="rId21">
        <w:r>
          <w:rPr>
            <w:rStyle w:val="Hyperlink"/>
            <w:rFonts w:ascii="Times New Roman" w:hAnsi="Times New Roman"/>
            <w:b w:val="false"/>
            <w:i w:val="false"/>
            <w:color w:val="000000"/>
            <w:sz w:val="22"/>
          </w:rPr>
          <w:t>193—Chapter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193E—21.5</w:t>
      </w:r>
      <w:r>
        <w:rPr>
          <w:rFonts w:ascii="Times New Roman" w:hAnsi="Times New Roman"/>
          <w:b/>
          <w:i w:val="false"/>
          <w:color w:val="000000"/>
          <w:sz w:val="22"/>
        </w:rPr>
        <w:t xml:space="preserve">(17A,543B) </w:t>
      </w:r>
      <w:r>
        <w:rPr>
          <w:rFonts w:ascii="Times New Roman" w:hAnsi="Times New Roman"/>
          <w:b/>
          <w:i w:val="false"/>
          <w:color w:val="000000"/>
          <w:sz w:val="22"/>
        </w:rPr>
        <w:t xml:space="preserve">Notice of intent to impose civil penalty. </w:t>
      </w:r>
      <w:r>
        <w:rPr>
          <w:rFonts w:ascii="Times New Roman" w:hAnsi="Times New Roman"/>
          <w:b w:val="false"/>
          <w:i w:val="false"/>
          <w:color w:val="000000"/>
          <w:sz w:val="22"/>
        </w:rPr>
        <w:t>Prior to issuing a cease and desist order and imposing a civil penalty against an unlicensed person, the commission provides the unlicensed person written notice and the opportunity to request a contested case hearing. Notice of the commission’s intent to issue a cease and desist order and to impose a civil penalty are served by certified mail, return receipt requested, or personal service in accordance with Iowa Rule of Civil Procedure 1.305. Alternatively, the unlicensed person may accept service personally or through authorized counsel. The notice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cease and desist order would be issued and the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and the nature of the intended order to obligate compliance with Iowa Code chapter </w:t>
      </w:r>
      <w:hyperlink r:id="rId2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unlicensed person’s right to a hearing and the time frame in which hearing is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which written request for hearing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193E—21.6</w:t>
      </w:r>
      <w:r>
        <w:rPr>
          <w:rFonts w:ascii="Times New Roman" w:hAnsi="Times New Roman"/>
          <w:b/>
          <w:i w:val="false"/>
          <w:color w:val="000000"/>
          <w:sz w:val="22"/>
        </w:rPr>
        <w:t xml:space="preserve">(17A,543B) </w:t>
      </w:r>
      <w:r>
        <w:rPr>
          <w:rFonts w:ascii="Times New Roman" w:hAnsi="Times New Roman"/>
          <w:b/>
          <w:i w:val="false"/>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val="false"/>
          <w:color w:val="000000"/>
          <w:sz w:val="22"/>
        </w:rPr>
        <w:t>Unlicensed persons request a hearing within 30 days of the date the notice is received if served through certified mail, or within 30 days of the date of service if service is accepted or made in accordance with Iowa Rule of Civil Procedure 1.305. A request for hearing is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commission chair or the chair’s designee may issue an order imposing a civil penalty and compliance with Iowa Code chapter </w:t>
      </w:r>
      <w:hyperlink r:id="rId2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timely made, the commission issues a notice of hearing and conducts a contested case hearing in the same manner as applicable to disciplinary cases against licensees. Rules governing such hearings may be found in </w:t>
      </w:r>
      <w:hyperlink r:id="rId24">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193E—Chapter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who fails to timely request a contested case hearing has failed to exhaust “adequate administrative remedies” as that term is used in Iowa Code section </w:t>
      </w:r>
      <w:hyperlink r:id="rId26">
        <w:r>
          <w:rPr>
            <w:rStyle w:val="Hyperlink"/>
            <w:rFonts w:ascii="Times New Roman" w:hAnsi="Times New Roman"/>
            <w:b w:val="false"/>
            <w:i w:val="false"/>
            <w:color w:val="000000"/>
            <w:sz w:val="22"/>
          </w:rPr>
          <w:t>17A.19(1)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who is aggrieved or adversely affected by the commission’s final decision following a contested case hearing may seek judicial review as provided in Iowa Code section </w:t>
      </w:r>
      <w:hyperlink r:id="rId2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may waive the right to hearing and all attendant rights and enter into a consent order imposing a civil penalty and compliance with Iowa Code chapter </w:t>
      </w:r>
      <w:hyperlink r:id="rId2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at any stage of the proceeding upon mutual consent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Copies may be published as provided in </w:t>
      </w:r>
      <w:hyperlink r:id="rId30">
        <w:r>
          <w:rPr>
            <w:rStyle w:val="Hyperlink"/>
            <w:rFonts w:ascii="Times New Roman" w:hAnsi="Times New Roman"/>
            <w:b w:val="false"/>
            <w:i w:val="false"/>
            <w:color w:val="000000"/>
            <w:sz w:val="22"/>
          </w:rPr>
          <w:t>193—subrule 7.30(2)</w:t>
        </w:r>
      </w:hyperlink>
      <w:r>
        <w:rPr>
          <w:rFonts w:ascii="Times New Roman" w:hAnsi="Times New Roman"/>
          <w:b w:val="false"/>
          <w:i w:val="false"/>
          <w:color w:val="000000"/>
          <w:sz w:val="22"/>
        </w:rPr>
        <w:t>.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193E—21.7</w:t>
      </w:r>
      <w:r>
        <w:rPr>
          <w:rFonts w:ascii="Times New Roman" w:hAnsi="Times New Roman"/>
          <w:b/>
          <w:i w:val="false"/>
          <w:color w:val="000000"/>
          <w:sz w:val="22"/>
        </w:rPr>
        <w:t xml:space="preserve">(17A,543B) </w:t>
      </w:r>
      <w:r>
        <w:rPr>
          <w:rFonts w:ascii="Times New Roman" w:hAnsi="Times New Roman"/>
          <w:b/>
          <w:i w:val="false"/>
          <w:color w:val="000000"/>
          <w:sz w:val="22"/>
        </w:rPr>
        <w:t xml:space="preserve">Alternative procedure. </w:t>
      </w:r>
      <w:r>
        <w:rPr>
          <w:rFonts w:ascii="Times New Roman" w:hAnsi="Times New Roman"/>
          <w:b w:val="false"/>
          <w:i w:val="false"/>
          <w:color w:val="000000"/>
          <w:sz w:val="22"/>
        </w:rPr>
        <w:t xml:space="preserve">The commission may, as an alternative to the notice and request for hearing procedures described in rules </w:t>
      </w:r>
      <w:hyperlink r:id="rId31">
        <w:r>
          <w:rPr>
            <w:rStyle w:val="Hyperlink"/>
            <w:rFonts w:ascii="Times New Roman" w:hAnsi="Times New Roman"/>
            <w:b w:val="false"/>
            <w:i w:val="false"/>
            <w:color w:val="000000"/>
            <w:sz w:val="22"/>
          </w:rPr>
          <w:t>193E—21.5(17A,543B)</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193E—21.6(17A,543B)</w:t>
        </w:r>
      </w:hyperlink>
      <w:r>
        <w:rPr>
          <w:rFonts w:ascii="Times New Roman" w:hAnsi="Times New Roman"/>
          <w:b w:val="false"/>
          <w:i w:val="false"/>
          <w:color w:val="000000"/>
          <w:sz w:val="22"/>
        </w:rPr>
        <w:t>, issue a statement of charges and notice of hearing in a format similar to that used for licensee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193E—21.8</w:t>
      </w:r>
      <w:r>
        <w:rPr>
          <w:rFonts w:ascii="Times New Roman" w:hAnsi="Times New Roman"/>
          <w:b/>
          <w:i w:val="false"/>
          <w:color w:val="000000"/>
          <w:sz w:val="22"/>
        </w:rPr>
        <w:t xml:space="preserve">(17A,543B) </w:t>
      </w:r>
      <w:r>
        <w:rPr>
          <w:rFonts w:ascii="Times New Roman" w:hAnsi="Times New Roman"/>
          <w:b/>
          <w:i w:val="false"/>
          <w:color w:val="000000"/>
          <w:sz w:val="22"/>
        </w:rPr>
        <w:t xml:space="preserve">Factors to consider. </w:t>
      </w:r>
      <w:r>
        <w:rPr>
          <w:rFonts w:ascii="Times New Roman" w:hAnsi="Times New Roman"/>
          <w:b w:val="false"/>
          <w:i w:val="false"/>
          <w:color w:val="000000"/>
          <w:sz w:val="22"/>
        </w:rPr>
        <w:t>The commission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time lapsed since the unlawful practice occurred.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Whether the unlawful practice violated a prior order of the commission, court order, cease and desist agreement, consent order, or similar document.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Whether the unlicensed person acted in bad faith.</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The extent to which the unlicensed person cooperated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193E—21.9</w:t>
      </w:r>
      <w:r>
        <w:rPr>
          <w:rFonts w:ascii="Times New Roman" w:hAnsi="Times New Roman"/>
          <w:b/>
          <w:i w:val="false"/>
          <w:color w:val="000000"/>
          <w:sz w:val="22"/>
        </w:rPr>
        <w:t xml:space="preserve">(17A,543B) </w:t>
      </w:r>
      <w:r>
        <w:rPr>
          <w:rFonts w:ascii="Times New Roman" w:hAnsi="Times New Roman"/>
          <w:b/>
          <w:i w:val="false"/>
          <w:color w:val="000000"/>
          <w:sz w:val="22"/>
        </w:rPr>
        <w:t xml:space="preserve">Enforcement options. </w:t>
      </w:r>
      <w:r>
        <w:rPr>
          <w:rFonts w:ascii="Times New Roman" w:hAnsi="Times New Roman"/>
          <w:b w:val="false"/>
          <w:i w:val="false"/>
          <w:color w:val="000000"/>
          <w:sz w:val="22"/>
        </w:rPr>
        <w:t>In addition, or as an alternative, to the administrative process described in these rules, the commission may seek an injunction in district court, enter into a consent agreement with the unlicensed person, or issue an informal cautionary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6/6/05, Notice 3/16/05—published 7/6/05, effective 8/10/05]</w:t>
      </w:r>
    </w:p>
    <w:p>
      <w:pPr>
        <w:spacing w:before="0" w:after="0"/>
        <w:ind w:left="120"/>
        <w:jc w:val="center"/>
      </w:pPr>
      <w:r>
        <w:rPr>
          <w:rFonts w:ascii="Times New Roman" w:hAnsi="Times New Roman"/>
          <w:b w:val="false"/>
          <w:i w:val="false"/>
          <w:color w:val="000000"/>
          <w:sz w:val="21"/>
        </w:rPr>
        <w:t>[Filed ARC 7783C</w:t>
      </w:r>
      <w:r>
        <w:rPr>
          <w:rFonts w:ascii="Times New Roman" w:hAnsi="Times New Roman"/>
          <w:b w:val="false"/>
          <w:i w:val="false"/>
          <w:color w:val="000000"/>
          <w:sz w:val="21"/>
        </w:rPr>
        <w:t xml:space="preserve"> (Notice ARC 7462C,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9251C</w:t>
      </w:r>
      <w:r>
        <w:rPr>
          <w:rFonts w:ascii="Times New Roman" w:hAnsi="Times New Roman"/>
          <w:b w:val="false"/>
          <w:i w:val="false"/>
          <w:color w:val="000000"/>
          <w:sz w:val="21"/>
        </w:rPr>
        <w:t xml:space="preserve"> (Notice ARC 8860C, IAB 2/19/25)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4.pdf" Type="http://schemas.openxmlformats.org/officeDocument/2006/relationships/hyperlink" Id="rId5"/>
    <Relationship TargetMode="External" Target="https://www.legis.iowa.gov/docs/iac/rule/193E.3.6.pdf" Type="http://schemas.openxmlformats.org/officeDocument/2006/relationships/hyperlink" Id="rId6"/>
    <Relationship TargetMode="External" Target="https://www.legis.iowa.gov/docs/iac/rule/193E.4.6.pdf" Type="http://schemas.openxmlformats.org/officeDocument/2006/relationships/hyperlink" Id="rId7"/>
    <Relationship TargetMode="External" Target="https://www.legis.iowa.gov/docs/ico/chapter/543B.1.pdf" Type="http://schemas.openxmlformats.org/officeDocument/2006/relationships/hyperlink" Id="rId8"/>
    <Relationship TargetMode="External" Target="https://www.legis.iowa.gov/docs/ico/chapter/543B.3.pdf" Type="http://schemas.openxmlformats.org/officeDocument/2006/relationships/hyperlink" Id="rId9"/>
    <Relationship TargetMode="External" Target="https://www.legis.iowa.gov/docs/ico/chapter/543B.6.pdf" Type="http://schemas.openxmlformats.org/officeDocument/2006/relationships/hyperlink" Id="rId10"/>
    <Relationship TargetMode="External" Target="https://www.legis.iowa.gov/docs/ico/chapter/543B.7.pdf" Type="http://schemas.openxmlformats.org/officeDocument/2006/relationships/hyperlink" Id="rId11"/>
    <Relationship TargetMode="External" Target="https://www.legis.iowa.gov/docs/ico/chapter/543B.1.pdf" Type="http://schemas.openxmlformats.org/officeDocument/2006/relationships/hyperlink" Id="rId12"/>
    <Relationship TargetMode="External" Target="https://www.legis.iowa.gov/docs/ico/chapter/543B.34.pdf" Type="http://schemas.openxmlformats.org/officeDocument/2006/relationships/hyperlink" Id="rId13"/>
    <Relationship TargetMode="External" Target="https://www.legis.iowa.gov/docs/ico/chapter/17A.13.pdf" Type="http://schemas.openxmlformats.org/officeDocument/2006/relationships/hyperlink" Id="rId14"/>
    <Relationship TargetMode="External" Target="https://www.legis.iowa.gov/docs/ico/chapter/543B.34.pdf" Type="http://schemas.openxmlformats.org/officeDocument/2006/relationships/hyperlink" Id="rId15"/>
    <Relationship TargetMode="External" Target="https://www.legis.iowa.gov/docs/iac/chapter/193.6.pdf" Type="http://schemas.openxmlformats.org/officeDocument/2006/relationships/hyperlink" Id="rId16"/>
    <Relationship TargetMode="External" Target="https://www.legis.iowa.gov/docs/iac/chapter/193E.18.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17A.13.pdf" Type="http://schemas.openxmlformats.org/officeDocument/2006/relationships/hyperlink" Id="rId19"/>
    <Relationship TargetMode="External" Target="https://www.legis.iowa.gov/docs/ico/chapter/543B.34.pdf" Type="http://schemas.openxmlformats.org/officeDocument/2006/relationships/hyperlink" Id="rId20"/>
    <Relationship TargetMode="External" Target="https://www.legis.iowa.gov/docs/iac/chapter/193.6.pdf" Type="http://schemas.openxmlformats.org/officeDocument/2006/relationships/hyperlink" Id="rId21"/>
    <Relationship TargetMode="External" Target="https://www.legis.iowa.gov/docs/ico/chapter/543B.pdf" Type="http://schemas.openxmlformats.org/officeDocument/2006/relationships/hyperlink" Id="rId22"/>
    <Relationship TargetMode="External" Target="https://www.legis.iowa.gov/docs/ico/chapter/543B.pdf" Type="http://schemas.openxmlformats.org/officeDocument/2006/relationships/hyperlink" Id="rId23"/>
    <Relationship TargetMode="External" Target="https://www.legis.iowa.gov/docs/iac/chapter/193.7.pdf" Type="http://schemas.openxmlformats.org/officeDocument/2006/relationships/hyperlink" Id="rId24"/>
    <Relationship TargetMode="External" Target="https://www.legis.iowa.gov/docs/iac/chapter/193E.18.pdf" Type="http://schemas.openxmlformats.org/officeDocument/2006/relationships/hyperlink" Id="rId25"/>
    <Relationship TargetMode="External" Target="https://www.legis.iowa.gov/docs/ico/chapter/17A.19.pdf" Type="http://schemas.openxmlformats.org/officeDocument/2006/relationships/hyperlink" Id="rId26"/>
    <Relationship TargetMode="External" Target="https://www.legis.iowa.gov/docs/ico/chapter/17A.19.pdf" Type="http://schemas.openxmlformats.org/officeDocument/2006/relationships/hyperlink" Id="rId27"/>
    <Relationship TargetMode="External" Target="https://www.legis.iowa.gov/docs/ico/chapter/543B.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ac/rule/193.7.30.pdf" Type="http://schemas.openxmlformats.org/officeDocument/2006/relationships/hyperlink" Id="rId30"/>
    <Relationship TargetMode="External" Target="https://www.legis.iowa.gov/docs/iac/rule/193E.21.5.pdf" Type="http://schemas.openxmlformats.org/officeDocument/2006/relationships/hyperlink" Id="rId31"/>
    <Relationship TargetMode="External" Target="https://www.legis.iowa.gov/docs/iac/rule/193E.21.6.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543B.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