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PRELICENSE EDUCATION AND CONTINUING EDUCATION</w:t>
      </w:r>
    </w:p>
    <w:p>
      <w:pPr>
        <w:spacing w:before="0" w:after="0"/>
        <w:ind w:left="120"/>
        <w:jc w:val="center"/>
      </w:pPr>
      <w:r>
        <w:rPr>
          <w:rFonts w:ascii="Times New Roman" w:hAnsi="Times New Roman"/>
          <w:b w:val="false"/>
          <w:i w:val="false"/>
          <w:color w:val="000000"/>
          <w:sz w:val="14"/>
        </w:rPr>
        <w:t>[Prior to 9/4/02, see 193E—Ch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193E—16.1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“Affirmative marketing” </w:t>
      </w:r>
      <w:r>
        <w:rPr>
          <w:rFonts w:ascii="Times New Roman" w:hAnsi="Times New Roman"/>
          <w:b w:val="false"/>
          <w:i w:val="false"/>
          <w:color w:val="000000"/>
          <w:sz w:val="22"/>
        </w:rPr>
        <w:t>means the entire scope of social laws and ethics that are concerned with civil rights as they apply especially to housing and to the activities of real estate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course, or activity” </w:t>
      </w:r>
      <w:r>
        <w:rPr>
          <w:rFonts w:ascii="Times New Roman" w:hAnsi="Times New Roman"/>
          <w:b w:val="false"/>
          <w:i w:val="false"/>
          <w:color w:val="000000"/>
          <w:sz w:val="22"/>
        </w:rPr>
        <w:t>means a continuing education program, course, or activity meeting the standards set forth in these rules which has received advance approval by the commission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provider” </w:t>
      </w:r>
      <w:r>
        <w:rPr>
          <w:rFonts w:ascii="Times New Roman" w:hAnsi="Times New Roman"/>
          <w:b w:val="false"/>
          <w:i w:val="false"/>
          <w:color w:val="000000"/>
          <w:sz w:val="22"/>
        </w:rPr>
        <w:t>means a person or an organization that has been approved by the commission to conduct continuing education activities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 </w:t>
      </w:r>
      <w:r>
        <w:rPr>
          <w:rFonts w:ascii="Times New Roman" w:hAnsi="Times New Roman"/>
          <w:b w:val="false"/>
          <w:i w:val="false"/>
          <w:color w:val="000000"/>
          <w:sz w:val="22"/>
        </w:rPr>
        <w:t xml:space="preserve">means any person holding an Iowa real estate broker license as defined in Iowa Code section </w:t>
      </w:r>
      <w:hyperlink r:id="rId5">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education needed as a condition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hour” </w:t>
      </w:r>
      <w:r>
        <w:rPr>
          <w:rFonts w:ascii="Times New Roman" w:hAnsi="Times New Roman"/>
          <w:b w:val="false"/>
          <w:i w:val="false"/>
          <w:color w:val="000000"/>
          <w:sz w:val="22"/>
        </w:rPr>
        <w:t>means the value assigned by the commission to a prelicense or continuing education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“online learning” </w:t>
      </w:r>
      <w:r>
        <w:rPr>
          <w:rFonts w:ascii="Times New Roman" w:hAnsi="Times New Roman"/>
          <w:b w:val="false"/>
          <w:i w:val="false"/>
          <w:color w:val="000000"/>
          <w:sz w:val="22"/>
        </w:rPr>
        <w:t>means a planned teaching/learning experience with a geographic separation of student and instructor that utilizes a wide spectrum of technology-based systems, including computer-based instruction, to reach learners at a distance. Home-study courses that include written materials, exercises and tests mailed to the provider for review are included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speaker” </w:t>
      </w:r>
      <w:r>
        <w:rPr>
          <w:rFonts w:ascii="Times New Roman" w:hAnsi="Times New Roman"/>
          <w:b w:val="false"/>
          <w:i w:val="false"/>
          <w:color w:val="000000"/>
          <w:sz w:val="22"/>
        </w:rPr>
        <w:t>means an individual who teaches a real estate education course on a one-time-only or very limited basis and who possesses a unique depth of knowledge and experience in the subject matter the individual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w:t>
      </w:r>
      <w:r>
        <w:rPr>
          <w:rFonts w:ascii="Times New Roman" w:hAnsi="Times New Roman"/>
          <w:b w:val="false"/>
          <w:i w:val="false"/>
          <w:color w:val="000000"/>
          <w:sz w:val="22"/>
        </w:rPr>
        <w:t>means 50 minutes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 instruction” </w:t>
      </w:r>
      <w:r>
        <w:rPr>
          <w:rFonts w:ascii="Times New Roman" w:hAnsi="Times New Roman"/>
          <w:b w:val="false"/>
          <w:i w:val="false"/>
          <w:color w:val="000000"/>
          <w:sz w:val="22"/>
        </w:rPr>
        <w:t>means an educational program delivered in a traditional classroom setting or by electronic means whereby the instructor and student have real-time visual and audio contact to carry out their essential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“Prelicense course” </w:t>
      </w:r>
      <w:r>
        <w:rPr>
          <w:rFonts w:ascii="Times New Roman" w:hAnsi="Times New Roman"/>
          <w:b w:val="false"/>
          <w:i w:val="false"/>
          <w:color w:val="000000"/>
          <w:sz w:val="22"/>
        </w:rPr>
        <w:t xml:space="preserve">means instruction consisting of one or more courses meeting the criteria of Iowa Code section </w:t>
      </w:r>
      <w:hyperlink r:id="rId8">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“Salesperson” </w:t>
      </w:r>
      <w:r>
        <w:rPr>
          <w:rFonts w:ascii="Times New Roman" w:hAnsi="Times New Roman"/>
          <w:b w:val="false"/>
          <w:i w:val="false"/>
          <w:color w:val="000000"/>
          <w:sz w:val="22"/>
        </w:rPr>
        <w:t xml:space="preserve">means any person holding an Iowa real estate salesperson license as defined in Iowa Code section </w:t>
      </w:r>
      <w:hyperlink r:id="rId9">
        <w:r>
          <w:rPr>
            <w:rStyle w:val="Hyperlink"/>
            <w:rFonts w:ascii="Times New Roman" w:hAnsi="Times New Roman"/>
            <w:b w:val="false"/>
            <w:i w:val="false"/>
            <w:color w:val="000000"/>
            <w:sz w:val="22"/>
          </w:rPr>
          <w:t>543B.5(3)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193E—16.2</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prelicense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course of study for the salesperson licensing examination consists of 60 live instruction or distance/online learning hours of real estate principles and practices to comply with the criteria of Iowa Code section </w:t>
      </w:r>
      <w:hyperlink r:id="rId10">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The curriculum includes, but is not limited to, the following subjects:</w:t>
      </w:r>
    </w:p>
    <w:p>
      <w:pPr>
        <w:spacing w:before="0" w:after="0"/>
        <w:ind w:left="120"/>
        <w:jc w:val="both"/>
      </w:pPr>
      <w:r>
        <w:rPr>
          <w:rFonts w:ascii="Times New Roman" w:hAnsi="Times New Roman"/>
          <w:b w:val="false"/>
          <w:i w:val="false"/>
          <w:color w:val="000000"/>
          <w:sz w:val="22"/>
        </w:rPr>
        <w:t>Introduction to Real Estate and Iowa License Law</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Ownership, Encumbrances, Legal Descriptions, Transfer of Title and Closing</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Contracts, Agency and Antitrust</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Valuation, Finance and Real Estate Math</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Property Management/Leasing, Fair Housing, Environmental Risks</w:t>
      </w:r>
    </w:p>
    <w:p>
      <w:pPr>
        <w:spacing w:before="0" w:after="0"/>
        <w:ind w:left="120"/>
        <w:jc w:val="both"/>
      </w:pPr>
      <w:r>
        <w:rPr>
          <w:rFonts w:ascii="Times New Roman" w:hAnsi="Times New Roman"/>
          <w:b w:val="false"/>
          <w:i w:val="false"/>
          <w:color w:val="000000"/>
          <w:sz w:val="22"/>
        </w:rPr>
        <w:t>and Health Issues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submission of an application, an applicant applying for an original salesperson license also provides evidence of the following live instruction courses: 12 hours of Developing Professionalism and Ethical Practices, 12 hours of Buying Practices and 12 hours of Listing Practices. All the necessary education is completed during the 12 months prior to the date the application is postmarked or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Successful completion of the salesperson prelicense education includes passage of an examination(s) designed by the approved provider that is sufficiently comprehensive to measure the student’s knowledge of all aspects of the course(s). Times allotted for examinations may be regarded as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salesperson prelicense education courses specified in subrule </w:t>
      </w:r>
      <w:hyperlink r:id="rId11">
        <w:r>
          <w:rPr>
            <w:rStyle w:val="Hyperlink"/>
            <w:rFonts w:ascii="Times New Roman" w:hAnsi="Times New Roman"/>
            <w:b w:val="false"/>
            <w:i w:val="false"/>
            <w:color w:val="000000"/>
            <w:sz w:val="22"/>
          </w:rPr>
          <w:t>16.2(1)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2">
        <w:r>
          <w:rPr>
            <w:rStyle w:val="Hyperlink"/>
            <w:rFonts w:ascii="Times New Roman" w:hAnsi="Times New Roman"/>
            <w:b w:val="false"/>
            <w:i w:val="false"/>
            <w:color w:val="000000"/>
            <w:sz w:val="22"/>
          </w:rPr>
          <w:t>16.2(1)</w:t>
        </w:r>
      </w:hyperlink>
      <w:r>
        <w:rPr>
          <w:rFonts w:ascii="Times New Roman" w:hAnsi="Times New Roman"/>
          <w:b w:val="false"/>
          <w:i w:val="false"/>
          <w:color w:val="000000"/>
          <w:sz w:val="22"/>
        </w:rPr>
        <w:t>. Courses completed more than 12 months prior to commission consideration for approval do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193E—16.3</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prelicense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r>
        <w:rPr>
          <w:rFonts w:ascii="Times New Roman" w:hAnsi="Times New Roman"/>
          <w:b w:val="false"/>
          <w:i w:val="false"/>
          <w:color w:val="000000"/>
          <w:sz w:val="22"/>
        </w:rPr>
        <w:t xml:space="preserve">The mandatory course of study to take the broker examination consists of Iowa Code section </w:t>
      </w:r>
      <w:hyperlink r:id="rId13">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Approved courses include the following subjects:</w:t>
      </w:r>
    </w:p>
    <w:p>
      <w:pPr>
        <w:spacing w:before="0" w:after="0"/>
        <w:ind w:left="120"/>
        <w:jc w:val="both"/>
      </w:pPr>
      <w:r>
        <w:rPr>
          <w:rFonts w:ascii="Times New Roman" w:hAnsi="Times New Roman"/>
          <w:b w:val="false"/>
          <w:i w:val="false"/>
          <w:color w:val="000000"/>
          <w:sz w:val="22"/>
        </w:rPr>
        <w:t>Contract Law and Contract Writing</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Iowa Real Estate Trust Accounts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Principles of Appraising and Market Analysis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Law and Agency Law</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Finance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Federal and State Laws Affecting Iowa Practice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Office Organization, Administration and Human Resources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Real Estate Technology and Data Security</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Ethics and Safety Issues for Brokers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 xml:space="preserve">Successful completion of the broker prelicense education includes passage of an examination(s) designed by the approved provider that is sufficiently comprehensive to measure the student’s knowledge of all aspects of the course(s). Times allotted for examinations may be regarded as hours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broker prelicense education courses specified in subrule </w:t>
      </w:r>
      <w:hyperlink r:id="rId14">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5">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Any course completed more than 24 months prior to commission consideration for approval does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All individual real estate licenses are issued for three-year terms, counting the remaining portion of the year of issue as a full year. All individual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As a criteria of license renewal in an active status, each real estate licensee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 Approved courses in the following subjects are completed to renew a license to active status:</w:t>
      </w:r>
    </w:p>
    <w:p>
      <w:pPr>
        <w:spacing w:before="0" w:after="0"/>
        <w:ind w:left="120"/>
        <w:jc w:val="both"/>
      </w:pPr>
      <w:r>
        <w:rPr>
          <w:rFonts w:ascii="Times New Roman" w:hAnsi="Times New Roman"/>
          <w:b w:val="false"/>
          <w:i w:val="false"/>
          <w:color w:val="000000"/>
          <w:sz w:val="22"/>
        </w:rPr>
        <w:t>Law Update</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val="false"/>
          <w:color w:val="000000"/>
          <w:sz w:val="22"/>
        </w:rPr>
        <w:t>During each three-year renewal period a course may be taken for credit only once. A course may be repeated for credit only if the course numbers and instructors are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val="false"/>
          <w:color w:val="000000"/>
          <w:sz w:val="22"/>
        </w:rPr>
        <w:t>A maximum of 24 hours of continuing education may be taken by distance/online learning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val="false"/>
          <w:color w:val="000000"/>
          <w:sz w:val="22"/>
        </w:rPr>
        <w:t>A licensee unable to attend educational offerings because of a disability may make a written request to the commission setting forth an explanation and verification of the disability. Licensees making requests need to meet the definition of a person with a disability found in the Americans with Disabilities Act as amended by the ADA Amendments Act of 2008 (ADAAA).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val="false"/>
          <w:color w:val="000000"/>
          <w:sz w:val="22"/>
        </w:rPr>
        <w:t>In addition to courses approved directly by the commission, the following will be deemed acceptable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Credits earned in a state which has a continuing education criteria for renewal of a license if the course is approved by the real estate licensing board of that state for credit for renewal. However, state-specific courses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sponsored by the National Association of Realtors (NAR) or its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193E—16.5</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records. </w:t>
      </w:r>
      <w:r>
        <w:rPr>
          <w:rFonts w:ascii="Times New Roman" w:hAnsi="Times New Roman"/>
          <w:b w:val="false"/>
          <w:i w:val="false"/>
          <w:color w:val="000000"/>
          <w:sz w:val="22"/>
        </w:rPr>
        <w:t xml:space="preserve">Applicants for license renewal pursuant to Iowa Code section </w:t>
      </w:r>
      <w:hyperlink r:id="rId16">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xml:space="preserve"> certify that the number of hours of continuing education needed to renew a license was completed as described in rule </w:t>
      </w:r>
      <w:hyperlink r:id="rId17">
        <w:r>
          <w:rPr>
            <w:rStyle w:val="Hyperlink"/>
            <w:rFonts w:ascii="Times New Roman" w:hAnsi="Times New Roman"/>
            <w:b w:val="false"/>
            <w:i w:val="false"/>
            <w:color w:val="000000"/>
            <w:sz w:val="22"/>
          </w:rPr>
          <w:t>193E—16.4(543B)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education claimed by the licensee. It is the responsibility of the licensee to maintain records that support the continuing education claimed and the validity of the credits. Documentation is retained by the licensee for a period of six years after the effective date of the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It will not be acceptable for a licensee to include on a renewal application continuing education which has not yet been completed, is outside the renewal period, or for which prior approval or postapproval has not been previously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Failure to provide necessary evidence of completion of claimed education within 30 days of the written notice from the commission results in the license’s being placed on inactive status. Prior to activating a license that has been placed on inactive status pursuant to this provision, the licensee submits to the commission satisfactory evidence that all necessary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a false affirmation is prima facie evidence of a violation of Iowa Code section </w:t>
      </w:r>
      <w:hyperlink r:id="rId18">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193E—16.6</w:t>
      </w:r>
      <w:r>
        <w:rPr>
          <w:rFonts w:ascii="Times New Roman" w:hAnsi="Times New Roman"/>
          <w:b/>
          <w:i w:val="false"/>
          <w:color w:val="000000"/>
          <w:sz w:val="22"/>
        </w:rPr>
        <w:t xml:space="preserve">(543B) </w:t>
      </w:r>
      <w:r>
        <w:rPr>
          <w:rFonts w:ascii="Times New Roman" w:hAnsi="Times New Roman"/>
          <w:b/>
          <w:i w:val="false"/>
          <w:color w:val="000000"/>
          <w:sz w:val="22"/>
        </w:rPr>
        <w:t xml:space="preserve">Reactivating an inactive license. </w:t>
      </w:r>
      <w:r>
        <w:rPr>
          <w:rFonts w:ascii="Times New Roman" w:hAnsi="Times New Roman"/>
          <w:b w:val="false"/>
          <w:i w:val="false"/>
          <w:color w:val="000000"/>
          <w:sz w:val="22"/>
        </w:rPr>
        <w:t>A license may be renewed without the necessary continuing education, but it is only renewed to an inactive status. Prior to reactivating a license that has been issued inactive due to failure to submit evidence of continuing education, the licensee submits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193E—16.7</w:t>
      </w:r>
      <w:r>
        <w:rPr>
          <w:rFonts w:ascii="Times New Roman" w:hAnsi="Times New Roman"/>
          <w:b/>
          <w:i w:val="false"/>
          <w:color w:val="000000"/>
          <w:sz w:val="22"/>
        </w:rPr>
        <w:t xml:space="preserve">(543B) </w:t>
      </w:r>
      <w:r>
        <w:rPr>
          <w:rFonts w:ascii="Times New Roman" w:hAnsi="Times New Roman"/>
          <w:b/>
          <w:i w:val="false"/>
          <w:color w:val="000000"/>
          <w:sz w:val="22"/>
        </w:rPr>
        <w:t xml:space="preserve">Full-time attendance. </w:t>
      </w:r>
      <w:r>
        <w:rPr>
          <w:rFonts w:ascii="Times New Roman" w:hAnsi="Times New Roman"/>
          <w:b w:val="false"/>
          <w:i w:val="false"/>
          <w:color w:val="000000"/>
          <w:sz w:val="22"/>
        </w:rPr>
        <w:t>Successful completion of continuing education needs full-time attendance throughout the program, course or activity. A student who arrives late, leaves during class or leaves early does not receive a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193E—16.8</w:t>
      </w:r>
      <w:r>
        <w:rPr>
          <w:rFonts w:ascii="Times New Roman" w:hAnsi="Times New Roman"/>
          <w:b/>
          <w:i w:val="false"/>
          <w:color w:val="000000"/>
          <w:sz w:val="22"/>
        </w:rPr>
        <w:t xml:space="preserve">(543B) </w:t>
      </w:r>
      <w:r>
        <w:rPr>
          <w:rFonts w:ascii="Times New Roman" w:hAnsi="Times New Roman"/>
          <w:b/>
          <w:i w:val="false"/>
          <w:color w:val="000000"/>
          <w:sz w:val="22"/>
        </w:rPr>
        <w:t xml:space="preserve">Education criteria for out-of-state licensees. </w:t>
      </w:r>
      <w:r>
        <w:rPr>
          <w:rFonts w:ascii="Times New Roman" w:hAnsi="Times New Roman"/>
          <w:b w:val="false"/>
          <w:i w:val="false"/>
          <w:color w:val="000000"/>
          <w:sz w:val="22"/>
        </w:rPr>
        <w:t xml:space="preserve">Subrule </w:t>
      </w:r>
      <w:hyperlink r:id="rId19">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xml:space="preserve"> applies to every Iowa real estate licensee unless exempted by Iowa Code section </w:t>
      </w:r>
      <w:hyperlink r:id="rId20">
        <w:r>
          <w:rPr>
            <w:rStyle w:val="Hyperlink"/>
            <w:rFonts w:ascii="Times New Roman" w:hAnsi="Times New Roman"/>
            <w:b w:val="false"/>
            <w:i w:val="false"/>
            <w:color w:val="000000"/>
            <w:sz w:val="22"/>
          </w:rPr>
          <w:t>272C.2(5)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193E—16.9</w:t>
      </w:r>
      <w:r>
        <w:rPr>
          <w:rFonts w:ascii="Times New Roman" w:hAnsi="Times New Roman"/>
          <w:b/>
          <w:i w:val="false"/>
          <w:color w:val="000000"/>
          <w:sz w:val="22"/>
        </w:rPr>
        <w:t xml:space="preserve">(543B) </w:t>
      </w:r>
      <w:r>
        <w:rPr>
          <w:rFonts w:ascii="Times New Roman" w:hAnsi="Times New Roman"/>
          <w:b/>
          <w:i w:val="false"/>
          <w:color w:val="000000"/>
          <w:sz w:val="22"/>
        </w:rPr>
        <w:t xml:space="preserve">Examination as a substitute for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A salesperson may satisfy all continuing education deficiencies by taking and passing the real estate salesperson examination. An authorization letter is obtained from the commission prior to scheduling the examination with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salesperson takes and passes the salesperson examination within the six months immediately preceding the expiration of the license, the salesperson examination score report may be substituted for the necessary hours of continuing education credit for the current license term and will satisfy all previous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salesperson who is otherwise qualified to be a broker and who passes the broker licensing examination is not needed to furnish evidence of credit for continuing education earned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A broker may satisfy all continuing education deficiencies by taking and passing the real estate broker examination. An authorization letter is obtained from the commission prior to scheduling the examination with the examination administrator. If the broker takes and passes the broker examination within the six months immediately preceding the expiration of the license, the broker examination score report may be substituted for the necessary hours of continuing education credits for the current license term and will satisfy all previous deficiencies.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193E—16.10</w:t>
      </w:r>
      <w:r>
        <w:rPr>
          <w:rFonts w:ascii="Times New Roman" w:hAnsi="Times New Roman"/>
          <w:b/>
          <w:i w:val="false"/>
          <w:color w:val="000000"/>
          <w:sz w:val="22"/>
        </w:rPr>
        <w:t xml:space="preserve">(543B) </w:t>
      </w:r>
      <w:r>
        <w:rPr>
          <w:rFonts w:ascii="Times New Roman" w:hAnsi="Times New Roman"/>
          <w:b/>
          <w:i w:val="false"/>
          <w:color w:val="000000"/>
          <w:sz w:val="22"/>
        </w:rPr>
        <w:t xml:space="preserve">Use of prelicense courses as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and brokers may take up to 24 hours of the salesperson prelicense courses specified in subrule </w:t>
      </w:r>
      <w:hyperlink r:id="rId21">
        <w:r>
          <w:rPr>
            <w:rStyle w:val="Hyperlink"/>
            <w:rFonts w:ascii="Times New Roman" w:hAnsi="Times New Roman"/>
            <w:b w:val="false"/>
            <w:i w:val="false"/>
            <w:color w:val="000000"/>
            <w:sz w:val="22"/>
          </w:rPr>
          <w:t>16.2(1)</w:t>
        </w:r>
      </w:hyperlink>
      <w:r>
        <w:rPr>
          <w:rFonts w:ascii="Times New Roman" w:hAnsi="Times New Roman"/>
          <w:b w:val="false"/>
          <w:i w:val="false"/>
          <w:color w:val="000000"/>
          <w:sz w:val="22"/>
        </w:rPr>
        <w:t xml:space="preserve"> as continuing education. However, a newly licensed salesperson cannot use credits from the salesperson prelicense course(s) to meet the continuing education criteria of the first renewal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Broker prelicense courses taken by a salesperson may be applied as continuing education for renewal of the salesperson license and also may be used as prelicense credit to qualify for 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val="false"/>
          <w:color w:val="000000"/>
          <w:sz w:val="22"/>
        </w:rPr>
        <w:t>A broker may take broker prelicense courses as continuing education, but a newly licensed broker cannot use as continuing education credits from the prelicense courses taken to qualify for the broker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193E—16.11</w:t>
      </w:r>
      <w:r>
        <w:rPr>
          <w:rFonts w:ascii="Times New Roman" w:hAnsi="Times New Roman"/>
          <w:b/>
          <w:i w:val="false"/>
          <w:color w:val="000000"/>
          <w:sz w:val="22"/>
        </w:rPr>
        <w:t xml:space="preserve">(543B) </w:t>
      </w:r>
      <w:r>
        <w:rPr>
          <w:rFonts w:ascii="Times New Roman" w:hAnsi="Times New Roman"/>
          <w:b/>
          <w:i w:val="false"/>
          <w:color w:val="000000"/>
          <w:sz w:val="22"/>
        </w:rPr>
        <w:t xml:space="preserve">Requests for prior approval or postapproval of a course(s). </w:t>
      </w:r>
      <w:r>
        <w:rPr>
          <w:rFonts w:ascii="Times New Roman" w:hAnsi="Times New Roman"/>
          <w:b w:val="false"/>
          <w:i w:val="false"/>
          <w:color w:val="000000"/>
          <w:sz w:val="22"/>
        </w:rPr>
        <w:t>A licensee seeking credit for attendance and participation in a course, program, or other continuing education activity that is to be conducted by a school not otherwise approved by the commission may apply for approval to the commission at least 21 days in advance of the beginning of the activity. The commission approves or denies the application in writing within 14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The application for prior 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or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and brief description of the activity or title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The application for postapproval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description of activity,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7/22/76, Notice 5/31/76—published 8/9/76, effective 9/13/76]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[Filed emergency 5/2/85—published 5/22/85, effective 5/2/85]</w:t>
      </w:r>
    </w:p>
    <w:p>
      <w:pPr>
        <w:spacing w:before="0" w:after="0"/>
        <w:ind w:left="120"/>
        <w:jc w:val="center"/>
      </w:pPr>
      <w:r>
        <w:rPr>
          <w:rFonts w:ascii="Times New Roman" w:hAnsi="Times New Roman"/>
          <w:b w:val="false"/>
          <w:i w:val="false"/>
          <w:color w:val="000000"/>
          <w:sz w:val="21"/>
        </w:rPr>
        <w:t>[Filed 8/23/85, Notice 7/3/85—published 9/11/85, effective 10/16/85]</w:t>
      </w:r>
    </w:p>
    <w:p>
      <w:pPr>
        <w:spacing w:before="0" w:after="0"/>
        <w:ind w:left="120"/>
        <w:jc w:val="center"/>
      </w:pPr>
      <w:r>
        <w:rPr>
          <w:rFonts w:ascii="Times New Roman" w:hAnsi="Times New Roman"/>
          <w:b w:val="false"/>
          <w:i w:val="false"/>
          <w:color w:val="000000"/>
          <w:sz w:val="21"/>
        </w:rPr>
        <w:t>[Filed 3/21/86, Notice 12/18/85—published 4/9/86, effective 5/15/86]</w:t>
      </w:r>
    </w:p>
    <w:p>
      <w:pPr>
        <w:spacing w:before="0" w:after="0"/>
        <w:ind w:left="120"/>
        <w:jc w:val="center"/>
      </w:pPr>
      <w:r>
        <w:rPr>
          <w:rFonts w:ascii="Times New Roman" w:hAnsi="Times New Roman"/>
          <w:b w:val="false"/>
          <w:i w:val="false"/>
          <w:color w:val="000000"/>
          <w:sz w:val="21"/>
        </w:rPr>
        <w:t>[Filed without Notice 5/30/86—published 6/18/86, effective 7/23/86]</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12/22/89, Notice 10/18/89—published 1/10/90, effective 2/14/90]</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9/23/93, Notices 5/26/93, 8/4/93—published 10/13/93, effective 12/1/93]</w:t>
      </w:r>
    </w:p>
    <w:p>
      <w:pPr>
        <w:spacing w:before="0" w:after="0"/>
        <w:ind w:left="120"/>
        <w:jc w:val="center"/>
      </w:pPr>
      <w:r>
        <w:rPr>
          <w:rFonts w:ascii="Times New Roman" w:hAnsi="Times New Roman"/>
          <w:b w:val="false"/>
          <w:i w:val="false"/>
          <w:color w:val="000000"/>
          <w:sz w:val="21"/>
        </w:rPr>
        <w:t>[Filed 7/29/94, Notice 5/25/94—published 8/17/94,effective 9/21/94]</w:t>
      </w:r>
    </w:p>
    <w:p>
      <w:pPr>
        <w:spacing w:before="0" w:after="0"/>
        <w:ind w:left="120"/>
        <w:jc w:val="center"/>
      </w:pPr>
      <w:r>
        <w:rPr>
          <w:rFonts w:ascii="Times New Roman" w:hAnsi="Times New Roman"/>
          <w:b w:val="false"/>
          <w:i w:val="false"/>
          <w:color w:val="000000"/>
          <w:sz w:val="21"/>
        </w:rPr>
        <w:t>[Filed 1/12/95, Notice 11/23/94—published 2/1/95, effective 3/8/95]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6/14/96, Notice 4/10/96—published 7/3/96, effective 8/7/96]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9/29/99, Notice 8/11/99—published 10/20/99, effective 11/24/99]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7972B</w:t>
      </w:r>
      <w:r>
        <w:rPr>
          <w:rFonts w:ascii="Times New Roman" w:hAnsi="Times New Roman"/>
          <w:b w:val="false"/>
          <w:i w:val="false"/>
          <w:color w:val="000000"/>
          <w:sz w:val="21"/>
        </w:rPr>
        <w:t xml:space="preserve"> (Notice ARC 7638B, IAB 3/25/09)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7778C</w:t>
      </w:r>
      <w:r>
        <w:rPr>
          <w:rFonts w:ascii="Times New Roman" w:hAnsi="Times New Roman"/>
          <w:b w:val="false"/>
          <w:i w:val="false"/>
          <w:color w:val="000000"/>
          <w:sz w:val="21"/>
        </w:rPr>
        <w:t xml:space="preserve"> (Notice ARC 7457C,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9480C</w:t>
      </w:r>
      <w:r>
        <w:rPr>
          <w:rFonts w:ascii="Times New Roman" w:hAnsi="Times New Roman"/>
          <w:b w:val="false"/>
          <w:i w:val="false"/>
          <w:color w:val="000000"/>
          <w:sz w:val="21"/>
        </w:rPr>
        <w:t xml:space="preserve"> (Notice ARC 8858C, IAB 2/19/25)</w:t>
      </w:r>
      <w:r>
        <w:rPr>
          <w:rFonts w:ascii="Times New Roman" w:hAnsi="Times New Roman"/>
          <w:b w:val="false"/>
          <w:i w:val="false"/>
          <w:color w:val="000000"/>
          <w:sz w:val="21"/>
        </w:rPr>
        <w:t>, IAB 8/6/25, effective 9/10/25]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(8/14/91) of amendments to 3.1, unnumbered paragraphs 3, 8; 3.2(1-4); 3.3(2-9); 3.4(1); 3.4(2)</w:t>
      </w:r>
      <w:r>
        <w:rPr>
          <w:rFonts w:ascii="Times New Roman" w:hAnsi="Times New Roman"/>
          <w:b w:val="false"/>
          <w:i/>
          <w:color w:val="000000"/>
          <w:sz w:val="22"/>
        </w:rPr>
        <w:t>“o”</w:t>
      </w:r>
      <w:r>
        <w:rPr>
          <w:rFonts w:ascii="Times New Roman" w:hAnsi="Times New Roman"/>
          <w:b w:val="false"/>
          <w:i w:val="false"/>
          <w:color w:val="000000"/>
          <w:sz w:val="22"/>
        </w:rPr>
        <w:t>; 3.4(5)</w:t>
      </w:r>
      <w:r>
        <w:rPr>
          <w:rFonts w:ascii="Times New Roman" w:hAnsi="Times New Roman"/>
          <w:b w:val="false"/>
          <w:i/>
          <w:color w:val="000000"/>
          <w:sz w:val="22"/>
        </w:rPr>
        <w:t>“h”</w:t>
      </w:r>
      <w:r>
        <w:rPr>
          <w:rFonts w:ascii="Times New Roman" w:hAnsi="Times New Roman"/>
          <w:b w:val="false"/>
          <w:i w:val="false"/>
          <w:color w:val="000000"/>
          <w:sz w:val="22"/>
        </w:rPr>
        <w:t>; and rules 3.5 and 3.6 delayed 70 days by the Administrative Rules Review Committee. Delay lifted 8/21/91, effective 8/22/91.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5.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5.pdf" Type="http://schemas.openxmlformats.org/officeDocument/2006/relationships/hyperlink" Id="rId9"/>
    <Relationship TargetMode="External" Target="https://www.legis.iowa.gov/docs/ico/chapter/543B.15.pdf" Type="http://schemas.openxmlformats.org/officeDocument/2006/relationships/hyperlink" Id="rId10"/>
    <Relationship TargetMode="External" Target="https://www.legis.iowa.gov/docs/iac/rule/193E.16.2.pdf" Type="http://schemas.openxmlformats.org/officeDocument/2006/relationships/hyperlink" Id="rId11"/>
    <Relationship TargetMode="External" Target="https://www.legis.iowa.gov/docs/iac/rule/193E.16.2.pdf" Type="http://schemas.openxmlformats.org/officeDocument/2006/relationships/hyperlink" Id="rId12"/>
    <Relationship TargetMode="External" Target="https://www.legis.iowa.gov/docs/ico/chapter/543B.15.pdf" Type="http://schemas.openxmlformats.org/officeDocument/2006/relationships/hyperlink" Id="rId13"/>
    <Relationship TargetMode="External" Target="https://www.legis.iowa.gov/docs/iac/rule/193E.16.3.pdf" Type="http://schemas.openxmlformats.org/officeDocument/2006/relationships/hyperlink" Id="rId14"/>
    <Relationship TargetMode="External" Target="https://www.legis.iowa.gov/docs/iac/rule/193E.16.3.pdf" Type="http://schemas.openxmlformats.org/officeDocument/2006/relationships/hyperlink" Id="rId15"/>
    <Relationship TargetMode="External" Target="https://www.legis.iowa.gov/docs/ico/chapter/543B.15.pdf" Type="http://schemas.openxmlformats.org/officeDocument/2006/relationships/hyperlink" Id="rId16"/>
    <Relationship TargetMode="External" Target="https://www.legis.iowa.gov/docs/iac/rule/193E.16.4.pdf" Type="http://schemas.openxmlformats.org/officeDocument/2006/relationships/hyperlink" Id="rId17"/>
    <Relationship TargetMode="External" Target="https://www.legis.iowa.gov/docs/ico/chapter/543B.29.pdf" Type="http://schemas.openxmlformats.org/officeDocument/2006/relationships/hyperlink" Id="rId18"/>
    <Relationship TargetMode="External" Target="https://www.legis.iowa.gov/docs/iac/rule/193E.16.4.pdf" Type="http://schemas.openxmlformats.org/officeDocument/2006/relationships/hyperlink" Id="rId19"/>
    <Relationship TargetMode="External" Target="https://www.legis.iowa.gov/docs/ico/chapter/272C.2.pdf" Type="http://schemas.openxmlformats.org/officeDocument/2006/relationships/hyperlink" Id="rId20"/>
    <Relationship TargetMode="External" Target="https://www.legis.iowa.gov/docs/iac/rule/193E.16.2.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3B.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