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TRUST ACCOUNTS AND CLOSINGS</w:t>
      </w:r>
    </w:p>
    <w:p>
      <w:pPr>
        <w:spacing w:before="0" w:after="0"/>
        <w:ind w:left="120"/>
        <w:jc w:val="center"/>
      </w:pPr>
      <w:r>
        <w:rPr>
          <w:rFonts w:ascii="Times New Roman" w:hAnsi="Times New Roman"/>
          <w:b w:val="false"/>
          <w:i w:val="false"/>
          <w:color w:val="000000"/>
          <w:sz w:val="14"/>
        </w:rPr>
        <w:t>[Prior to 9/4/02, see 193E—Ch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193E—13.1</w:t>
      </w:r>
      <w:r>
        <w:rPr>
          <w:rFonts w:ascii="Times New Roman" w:hAnsi="Times New Roman"/>
          <w:b/>
          <w:i w:val="false"/>
          <w:color w:val="000000"/>
          <w:sz w:val="22"/>
        </w:rPr>
        <w:t xml:space="preserve">(543B) </w:t>
      </w:r>
      <w:r>
        <w:rPr>
          <w:rFonts w:ascii="Times New Roman" w:hAnsi="Times New Roman"/>
          <w:b/>
          <w:i w:val="false"/>
          <w:color w:val="000000"/>
          <w:sz w:val="22"/>
        </w:rPr>
        <w:t xml:space="preserve">Trust account. </w:t>
      </w:r>
      <w:r>
        <w:rPr>
          <w:rFonts w:ascii="Times New Roman" w:hAnsi="Times New Roman"/>
          <w:b w:val="false"/>
          <w:i w:val="false"/>
          <w:color w:val="000000"/>
          <w:sz w:val="22"/>
        </w:rPr>
        <w:t>All earnest payments, all rents collected, property management funds, and other trust funds received by the broker in such capacity or broker associate or salesperson on behalf of the broker’s client are deposited in a trust account maintained by the broker in an identified trust account, with the word “trust” in the name of the account, in a federally insured depository institution and, for the purposes of this rule, may be referred to as the “depository.”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All money belonging to others received by the broker, broker associate or salesperson on the sale, rental, purchase, or exchange of real property located in Iowa are trust funds and are deposited in a trust account as directed by the principals to a transaction constituting dealing in real estate. This includes, but is not limited to, receipts from property management contracts; rental or lease contracts; advance fee contracts; escrow contracts; collection contracts; earnest money contracts; or money received by a broker for future investment or other purpose, except a nonrefundable retainer need not be placed in an escrow account if specifically provided for in the written agreement between the broker and the broker’s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trust funds are deposited into the trust account no later than five banking days after the date indicated on the document that the last signature of acceptance of the offer to purchase, rent, lease, exchange, or option is obtained unless otherwise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Money belonging to others cannot be invested in any type of fixed-term maturity account, security or certificate without the written consent of the party or parties to whom the money belongs.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cannot commingle personal funds in a trust account unless authorized by Iowa Code section </w:t>
      </w:r>
      <w:hyperlink r:id="rId5">
        <w:r>
          <w:rPr>
            <w:rStyle w:val="Hyperlink"/>
            <w:rFonts w:ascii="Times New Roman" w:hAnsi="Times New Roman"/>
            <w:b w:val="false"/>
            <w:i w:val="false"/>
            <w:color w:val="000000"/>
            <w:sz w:val="22"/>
          </w:rPr>
          <w:t>543B.46(4)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The broker ensures that personal funds are deposited to cover bank service charges as specified in Iowa Code section </w:t>
      </w:r>
      <w:hyperlink r:id="rId6">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that at no time are trust moneys used to cover any charges. Upon notification that the broker’s personal funds are not sufficient to cover service charges initiated by the bank that are above the normal maintenance charges, the broker deposits personal funds to correct the deficiency within 15 calendar days of the closing date of that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Money held in the trust account, which becomes due and payable to the broker, is promptly withdrawn by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cannot use the trust account as a business operating account or for personal use. Commissions, salaries, related items and normal business expenses are not disbursed directly from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 xml:space="preserve">As authorized by Iowa Code section </w:t>
      </w:r>
      <w:hyperlink r:id="rId7">
        <w:r>
          <w:rPr>
            <w:rStyle w:val="Hyperlink"/>
            <w:rFonts w:ascii="Times New Roman" w:hAnsi="Times New Roman"/>
            <w:b w:val="false"/>
            <w:i w:val="false"/>
            <w:color w:val="000000"/>
            <w:sz w:val="22"/>
          </w:rPr>
          <w:t>543B.46(1)</w:t>
        </w:r>
      </w:hyperlink>
      <w:r>
        <w:rPr>
          <w:rFonts w:ascii="Times New Roman" w:hAnsi="Times New Roman"/>
          <w:b w:val="false"/>
          <w:i w:val="false"/>
          <w:color w:val="000000"/>
          <w:sz w:val="22"/>
        </w:rPr>
        <w:t>, all interest earned on the trust account is transferred on a calendar quarter basis to the state. The amount to be remitted to the state will be the amount of interest earned less any service charges directly attributable to the criteria of maintaining an interest-bearing account and of remitting the interest to the state. The broker may have the depository remit the interest directly or the broker may remit the interest but, in either case, it is the responsibility of the broker to see that the interest is remitted.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interest is remitted by the broker, the broker should use the commission-approved Real Estate Interest Remittance Form and include a copy of the applicable bank statement(s) showing the interest paid and the service charges attributable to maintaining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interest is remitted by the broker, the broker mails the interest remittance check and mandatory documentation to:</w:t>
      </w:r>
    </w:p>
    <w:p>
      <w:pPr>
        <w:spacing w:before="0" w:after="0"/>
        <w:ind w:left="120"/>
        <w:jc w:val="both"/>
      </w:pPr>
      <w:r>
        <w:rPr>
          <w:rFonts w:ascii="Times New Roman" w:hAnsi="Times New Roman"/>
          <w:b w:val="false"/>
          <w:i w:val="false"/>
          <w:color w:val="000000"/>
          <w:sz w:val="22"/>
        </w:rPr>
        <w:t>The State of Iowa</w:t>
      </w:r>
    </w:p>
    <w:p>
      <w:pPr>
        <w:spacing w:before="0" w:after="0"/>
        <w:ind w:left="120"/>
        <w:jc w:val="both"/>
      </w:pPr>
      <w:r>
        <w:rPr>
          <w:rFonts w:ascii="Times New Roman" w:hAnsi="Times New Roman"/>
          <w:b w:val="false"/>
          <w:i w:val="false"/>
          <w:color w:val="000000"/>
          <w:sz w:val="22"/>
        </w:rPr>
        <w:t>c/o Bankers Trust Company</w:t>
      </w:r>
    </w:p>
    <w:p>
      <w:pPr>
        <w:spacing w:before="0" w:after="0"/>
        <w:ind w:left="120"/>
        <w:jc w:val="both"/>
      </w:pPr>
      <w:r>
        <w:rPr>
          <w:rFonts w:ascii="Times New Roman" w:hAnsi="Times New Roman"/>
          <w:b w:val="false"/>
          <w:i w:val="false"/>
          <w:color w:val="000000"/>
          <w:sz w:val="22"/>
        </w:rPr>
        <w:t>P.O. Box 4686</w:t>
      </w:r>
    </w:p>
    <w:p>
      <w:pPr>
        <w:spacing w:before="0" w:after="0"/>
        <w:ind w:left="120"/>
        <w:jc w:val="both"/>
      </w:pPr>
      <w:r>
        <w:rPr>
          <w:rFonts w:ascii="Times New Roman" w:hAnsi="Times New Roman"/>
          <w:b w:val="false"/>
          <w:i w:val="false"/>
          <w:color w:val="000000"/>
          <w:sz w:val="22"/>
        </w:rPr>
        <w:t>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depository should use the name “Iowa Finance Authority” and the federal tax identification number (TIN) 52-1699886 on the 1099 reporting form when reporting interest to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depository should send the 1099 reporting form to:</w:t>
      </w:r>
    </w:p>
    <w:p>
      <w:pPr>
        <w:spacing w:before="0" w:after="0"/>
        <w:ind w:left="120"/>
        <w:jc w:val="both"/>
      </w:pPr>
      <w:r>
        <w:rPr>
          <w:rFonts w:ascii="Times New Roman" w:hAnsi="Times New Roman"/>
          <w:b w:val="false"/>
          <w:i w:val="false"/>
          <w:color w:val="000000"/>
          <w:sz w:val="22"/>
        </w:rPr>
        <w:t>Iowa Finance Authority</w:t>
      </w:r>
    </w:p>
    <w:p>
      <w:pPr>
        <w:spacing w:before="0" w:after="0"/>
        <w:ind w:left="120"/>
        <w:jc w:val="both"/>
      </w:pPr>
      <w:r>
        <w:rPr>
          <w:rFonts w:ascii="Times New Roman" w:hAnsi="Times New Roman"/>
          <w:b w:val="false"/>
          <w:i w:val="false"/>
          <w:color w:val="000000"/>
          <w:sz w:val="22"/>
        </w:rPr>
        <w:t>2015 Grand Avenue</w:t>
      </w:r>
    </w:p>
    <w:p>
      <w:pPr>
        <w:spacing w:before="0" w:after="0"/>
        <w:ind w:left="120"/>
        <w:jc w:val="both"/>
      </w:pPr>
      <w:r>
        <w:rPr>
          <w:rFonts w:ascii="Times New Roman" w:hAnsi="Times New Roman"/>
          <w:b w:val="false"/>
          <w:i w:val="false"/>
          <w:color w:val="000000"/>
          <w:sz w:val="22"/>
        </w:rPr>
        <w:t>Des Moines, Iowa 50312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property management or rental account is interest-bearing, the interest is transferred on a calendar quarter basis to the state unless there is a written agreement paying the interest to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broker enters into a written agreement to pay interest to a buyer or seller in a transaction, or to a third party if requested by the parties to the contract and agreed to by the broker, if the client’s trust funds can earn net interest. In determining whether a client can earn net interest on funds placed in trust, the broker takes into consideration all relevant factors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interest that the funds would earn during the period in which they are reasonably expected to be deposited;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establishing and administering an individual interest-bearing trust account in which the interest would be transmitted to the client, including any needed tax forms;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capability of the financial institution to calculate and pay interest to individual clients through subaccounting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disclosure to and the written agreement of all parties, a trust account may bear interest to be disbursed to (1) the buyer or seller involved in a real estate purchase, sale or exchange transaction, or (2) the property owner, if the property management or rental contract contains this specific provision, or (3) as otherwise specifically allowed or provided in Iowa Code sections </w:t>
      </w:r>
      <w:hyperlink r:id="rId8">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or (4) a third party if requested by the parties to the contract and agreed to by the broker. Disbursements of interest on trust funds are subject to all provisions of law that obligate a broker to safeguard and account for the handling of funds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Receipts from property management and rental account transactions may be deposited in a trust account separate from real estate transaction funds. If separately maintained, this account does not need to be an interest-bearing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provides to the broker’s client a complete accounting of all moneys received and disbursed from the trust account(s) not less often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broker may only utilize a separate property management or rents trust account for those moneys received by a broker pursuant to a written property management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w:t>
      </w:r>
      <w:r>
        <w:rPr>
          <w:rFonts w:ascii="Times New Roman" w:hAnsi="Times New Roman"/>
          <w:b w:val="false"/>
          <w:i w:val="false"/>
          <w:color w:val="000000"/>
          <w:sz w:val="22"/>
        </w:rPr>
        <w:t> </w:t>
      </w:r>
      <w:r>
        <w:rPr>
          <w:rFonts w:ascii="Times New Roman" w:hAnsi="Times New Roman"/>
          <w:b w:val="false"/>
          <w:i w:val="false"/>
          <w:color w:val="000000"/>
          <w:sz w:val="22"/>
        </w:rPr>
        <w:t>A broker is needed to open and maintain one or more trust accounts if the broker is in the practice of depositing funds in a trust account. For each separate trust account opened, the broker files with the commission a written Consent to Examine and Audit Trust Account form, which irrevocably authorizes the commission to examine and audit the trust account. The form of consent is prescribed by and available from the commission and includes the account names and number and the name and address of the depository.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broker is not in the practice of depositing trust funds in a trust account, the broker files an affidavit with the commission on a form prescribed by and available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trust funds are received by the broker after filing an affidavit, the broker immediately opens a trust account and files the appropriate Consent to Examine and Audit Trust Account form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by Iowa Code section </w:t>
      </w:r>
      <w:hyperlink r:id="rId10">
        <w:r>
          <w:rPr>
            <w:rStyle w:val="Hyperlink"/>
            <w:rFonts w:ascii="Times New Roman" w:hAnsi="Times New Roman"/>
            <w:b w:val="false"/>
            <w:i w:val="false"/>
            <w:color w:val="000000"/>
            <w:sz w:val="22"/>
          </w:rPr>
          <w:t>543B.46(3)</w:t>
        </w:r>
      </w:hyperlink>
      <w:r>
        <w:rPr>
          <w:rFonts w:ascii="Times New Roman" w:hAnsi="Times New Roman"/>
          <w:b w:val="false"/>
          <w:i w:val="false"/>
          <w:color w:val="000000"/>
          <w:sz w:val="22"/>
        </w:rPr>
        <w:t xml:space="preserve">, a consent to examine is not necessary for a separate farm business operating account or a separate property management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w:t>
      </w:r>
      <w:r>
        <w:rPr>
          <w:rFonts w:ascii="Times New Roman" w:hAnsi="Times New Roman"/>
          <w:b w:val="false"/>
          <w:i w:val="false"/>
          <w:color w:val="000000"/>
          <w:sz w:val="22"/>
        </w:rPr>
        <w:t> </w:t>
      </w:r>
      <w:r>
        <w:rPr>
          <w:rFonts w:ascii="Times New Roman" w:hAnsi="Times New Roman"/>
          <w:b w:val="false"/>
          <w:i w:val="false"/>
          <w:color w:val="000000"/>
          <w:sz w:val="22"/>
        </w:rPr>
        <w:t>Each broker obligated to maintain a trust account maintains at all times a record of each account, as mandated by these rules, in the place of business, consisting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record called a journal which records in chronological order all receipts and disbursements of moneys in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receipts, the journal for each trust account includes the date, name of depositor, the check number and the amount deposited, and the name of principal or identify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disbursements, the journal for each trust account includes the date, name of payee, name of principal or identify the property, the check number and the amount disbursed.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journal provides a means for monthly reconciliation on a written worksheet of the general ledger balance with the bank balance and with the individual ledger accounts to ensure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Real estate sales transactions additionally need an individual ledger account identified by the property or the principal, which records all receipts and disbursements of the transaction and clearly separates the transaction from all others. The individual ledger account includes the date, check number, amount, name of payee or depositor or explanation of activity with a running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management trust account records additionally include an individual ledger account for each tenant, identifying the tenant’s rental unit and security deposit and including all receipts and disbursements together with check number and date. The journal for each account is maintained as an owner’s ledger account for all properties owned by each owner showing receipts and disbursements applicable to each property managed.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disbursements are documented by bids, contracts, invoices or other appropriate written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running balance may be determined at the time of monthly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Trust account supporting documents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Bank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Canceled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contracts, listing, sales, rental and leasing;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Pertinent correspondence;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additional items necessary to verify or explain an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including interest on trust funds, are only disbursed from the trust account as provided in Iowa Code section </w:t>
      </w:r>
      <w:hyperlink r:id="rId11">
        <w:r>
          <w:rPr>
            <w:rStyle w:val="Hyperlink"/>
            <w:rFonts w:ascii="Times New Roman" w:hAnsi="Times New Roman"/>
            <w:b w:val="false"/>
            <w:i w:val="false"/>
            <w:color w:val="000000"/>
            <w:sz w:val="22"/>
          </w:rPr>
          <w:t>543B.46(1)</w:t>
        </w:r>
      </w:hyperlink>
      <w:r>
        <w:rPr>
          <w:rFonts w:ascii="Times New Roman" w:hAnsi="Times New Roman"/>
          <w:b w:val="false"/>
          <w:i w:val="false"/>
          <w:color w:val="000000"/>
          <w:sz w:val="22"/>
        </w:rPr>
        <w:t xml:space="preserve"> and by the terms and conditions of the contract or escrow agreement. No funds are disbursed from the trust account prior to the closing, or other than as provided by the terms of the escrow agreement, without the informed written consent of all the parties. In the event of a dispute over the return or forfeiture of an earnest money deposit or the disbursement of an escrow deposit held by a broker, the broker continues to hold the deposit in the trust account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is in receipt of a written release from all parties to the transaction consenting to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broker is in receipt of a final judgment of the court directing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 final decision of a binding alternative dispute resolution process, or mediation directing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civil court action is filed by one or more of the parties to determine the disposition of the deposit or escrow funds, at which time the broker may seek court authorization to pay the deposit or escrow funds into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w:t>
      </w:r>
      <w:r>
        <w:rPr>
          <w:rFonts w:ascii="Times New Roman" w:hAnsi="Times New Roman"/>
          <w:b w:val="false"/>
          <w:i w:val="false"/>
          <w:color w:val="000000"/>
          <w:sz w:val="22"/>
        </w:rPr>
        <w:t> </w:t>
      </w:r>
      <w:r>
        <w:rPr>
          <w:rFonts w:ascii="Times New Roman" w:hAnsi="Times New Roman"/>
          <w:b w:val="false"/>
          <w:i w:val="false"/>
          <w:color w:val="000000"/>
          <w:sz w:val="22"/>
        </w:rPr>
        <w:t xml:space="preserve">No funds are disbursed from the trust account prior to the closing without the informed written consent of all the parties to the transaction as provided in subrule </w:t>
      </w:r>
      <w:hyperlink r:id="rId12">
        <w:r>
          <w:rPr>
            <w:rStyle w:val="Hyperlink"/>
            <w:rFonts w:ascii="Times New Roman" w:hAnsi="Times New Roman"/>
            <w:b w:val="false"/>
            <w:i w:val="false"/>
            <w:color w:val="000000"/>
            <w:sz w:val="22"/>
          </w:rPr>
          <w:t>13.1(7)</w:t>
        </w:r>
      </w:hyperlink>
      <w:r>
        <w:rPr>
          <w:rFonts w:ascii="Times New Roman" w:hAnsi="Times New Roman"/>
          <w:b w:val="false"/>
          <w:i w:val="false"/>
          <w:color w:val="000000"/>
          <w:sz w:val="22"/>
        </w:rPr>
        <w:t>, except in accordance with this rule. Nothing in this rule obligates a broker to remove money from the broker’s trust account when the disposition of such money is disputed by the parties to the transaction. The commission will not take disciplinary action against a broker who in good faith disburses trust account moneys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absence of a pending civil court action or written agreement, it is not grounds for disciplinary action when, upon passage of 30 days from the date of the dispute, a broker disburses the earnest money deposit to a buyer, renter, or lessee in a transaction based upon a good faith decision that a contingency has not been met, but disbursement is made only after the broker has given 30 days’ written notice by certified mail to all parties concerned at their last-known addresses, setting forth the broker’s proposed action and the grounds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a pending civil action or written agreement, it is not grounds for disciplinary action when, upon passage of six months from the date of the dispute, a broker disburses the earnest money deposit to a seller or landlord in a transaction based upon a good faith decision that the buyer, renter, or lessee has failed to perform as agreed, but disbursement is made only after the broker has given 30 days’ written notice by certified mail to all parties concerned at their last-known addresses, setting forth the broker’s proposed action and grounds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buyer or seller, or a landlord or lessee, or a renter demands the return of the earnest money deposit, the broker consults with the other party who may agree or disagree with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no circumstances is the broker entitled to withhold any portion of the earnest money when a transaction fails to consummate even if a commission is earned. The earnest money is disposed of as provided in subrule </w:t>
      </w:r>
      <w:hyperlink r:id="rId13">
        <w:r>
          <w:rPr>
            <w:rStyle w:val="Hyperlink"/>
            <w:rFonts w:ascii="Times New Roman" w:hAnsi="Times New Roman"/>
            <w:b w:val="false"/>
            <w:i w:val="false"/>
            <w:color w:val="000000"/>
            <w:sz w:val="22"/>
          </w:rPr>
          <w:t>13.1(7)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13.1(8)</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13.1(10)</w:t>
        </w:r>
      </w:hyperlink>
      <w:r>
        <w:rPr>
          <w:rFonts w:ascii="Times New Roman" w:hAnsi="Times New Roman"/>
          <w:b w:val="false"/>
          <w:i w:val="false"/>
          <w:color w:val="000000"/>
          <w:sz w:val="22"/>
        </w:rPr>
        <w:t>, and the broker pursues any claim for commission or compensation against the broker’s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w:t>
      </w:r>
      <w:r>
        <w:rPr>
          <w:rFonts w:ascii="Times New Roman" w:hAnsi="Times New Roman"/>
          <w:b w:val="false"/>
          <w:i w:val="false"/>
          <w:color w:val="000000"/>
          <w:sz w:val="22"/>
        </w:rPr>
        <w:t> </w:t>
      </w:r>
      <w:r>
        <w:rPr>
          <w:rFonts w:ascii="Times New Roman" w:hAnsi="Times New Roman"/>
          <w:b w:val="false"/>
          <w:i w:val="false"/>
          <w:color w:val="000000"/>
          <w:sz w:val="22"/>
        </w:rPr>
        <w:t>Interpleader. Anytime the broker in good faith believes that the parties disputing the return of the deposit will not agree on the disposition of the deposit or file a civil court action to determine the disposition of the deposit, then the broker may elect to file an interpleader action with the appropriate court pursuant to Iowa Rules of Civil Procedure and pay the deposit into court. The broker may, in filing such an interpleader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Attempt to claim a part of the deposit pursuant to the listing contract with the seller, if the seller is successful in the suit.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Disclaim any part of the deposit and request the court to restrain the buyer and the seller from naming the broker in the civil suit and order them to litigate their claims to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val="false"/>
          <w:color w:val="000000"/>
          <w:sz w:val="22"/>
        </w:rPr>
        <w:t xml:space="preserve">A trust account may bear interest to be disbursed to the buyers or sellers or to a third party if requested by the parties to the contract and agreed to by the broker with the written approval of all parties to the contract or to the owner if the trust account is for a property management account and the management contract so specifies, or as otherwise specifically allowed or provided in Iowa Code sections </w:t>
      </w:r>
      <w:hyperlink r:id="rId16">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xml:space="preserve">. The account is a separate account from the account(s) which is to accrue interest to the state. Interest is disbursed to the owner or owners of the funds at the time of settlement of the transaction or as agreed to in the management contract and is properly accounted for on closing statements. A broker does not disburse interest on trust funds except as provided in subrules </w:t>
      </w:r>
      <w:hyperlink r:id="rId18">
        <w:r>
          <w:rPr>
            <w:rStyle w:val="Hyperlink"/>
            <w:rFonts w:ascii="Times New Roman" w:hAnsi="Times New Roman"/>
            <w:b w:val="false"/>
            <w:i w:val="false"/>
            <w:color w:val="000000"/>
            <w:sz w:val="22"/>
          </w:rPr>
          <w:t>13.1(3)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13.1(7)</w:t>
        </w:r>
      </w:hyperlink>
      <w:r>
        <w:rPr>
          <w:rFonts w:ascii="Times New Roman" w:hAnsi="Times New Roman"/>
          <w:b w:val="false"/>
          <w:i w:val="false"/>
          <w:color w:val="000000"/>
          <w:sz w:val="22"/>
        </w:rPr>
        <w:t>. Service charges for the account are a business expense of the broker and are not deducted from the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val="false"/>
          <w:color w:val="000000"/>
          <w:sz w:val="22"/>
        </w:rPr>
        <w:t>Property management account funds may be withdrawn at any time for the purpose of returning the funds to the payee in accordance with the terms of the contract or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val="false"/>
          <w:color w:val="000000"/>
          <w:sz w:val="22"/>
        </w:rPr>
        <w:t>Property management funds may be withdrawn when and if the broker reasonably believes, from evidence available, that the tenant has obtained a rental or lease through information supplied by or on behalf of the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13.1(14)</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funds that are not traceable to any individual for disbursement from the trust account are unclaimed property. In accordance with Iowa Code chapter </w:t>
      </w:r>
      <w:hyperlink r:id="rId20">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after three years, unclaimed trust funds are reported and remitted to the Treasurer, State of Iowa, Unclaimed Property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193E—13.2</w:t>
      </w:r>
      <w:r>
        <w:rPr>
          <w:rFonts w:ascii="Times New Roman" w:hAnsi="Times New Roman"/>
          <w:b/>
          <w:i w:val="false"/>
          <w:color w:val="000000"/>
          <w:sz w:val="22"/>
        </w:rPr>
        <w:t xml:space="preserve">(543B) </w:t>
      </w:r>
      <w:r>
        <w:rPr>
          <w:rFonts w:ascii="Times New Roman" w:hAnsi="Times New Roman"/>
          <w:b/>
          <w:i w:val="false"/>
          <w:color w:val="000000"/>
          <w:sz w:val="22"/>
        </w:rPr>
        <w:t xml:space="preserve">Closing transactions. </w:t>
      </w:r>
      <w:r>
        <w:rPr>
          <w:rFonts w:ascii="Times New Roman" w:hAnsi="Times New Roman"/>
          <w:b w:val="false"/>
          <w:i w:val="false"/>
          <w:color w:val="000000"/>
          <w:sz w:val="22"/>
        </w:rPr>
        <w:t>It is mandatory for every broker to deliver to the seller in every real estate transaction, at the time the transaction is consummated, a complete detailed statement, showing all of the receipts and disbursements handled by the broker. Also, the broker at the same time delivers to the buyer a complete statement showing all moneys received in the transaction from the buyer and how and for what the same were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In the event all funds being held by the broker for a transaction cannot be disbursed at the time of closing, the broker obtains an escrow agreement signed by both parties to the transaction which directs the broker regarding the future disbursement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broker retains all trust account records and a complete file, which includes but is not limited to the records mandated by rule </w:t>
      </w:r>
      <w:hyperlink r:id="rId21">
        <w:r>
          <w:rPr>
            <w:rStyle w:val="Hyperlink"/>
            <w:rFonts w:ascii="Times New Roman" w:hAnsi="Times New Roman"/>
            <w:b w:val="false"/>
            <w:i w:val="false"/>
            <w:color w:val="000000"/>
            <w:sz w:val="22"/>
          </w:rPr>
          <w:t>193E—13.5</w:t>
        </w:r>
      </w:hyperlink>
      <w:r>
        <w:rPr>
          <w:rFonts w:ascii="Times New Roman" w:hAnsi="Times New Roman"/>
          <w:b w:val="false"/>
          <w:i w:val="false"/>
          <w:color w:val="000000"/>
          <w:sz w:val="22"/>
        </w:rPr>
        <w:t xml:space="preserve">(543B), on each transaction for a period of at least five years after the date of the closing. Records mandated by this rule may be retained as an electronic record as provided by rule </w:t>
      </w:r>
      <w:hyperlink r:id="rId22">
        <w:r>
          <w:rPr>
            <w:rStyle w:val="Hyperlink"/>
            <w:rFonts w:ascii="Times New Roman" w:hAnsi="Times New Roman"/>
            <w:b w:val="false"/>
            <w:i w:val="false"/>
            <w:color w:val="000000"/>
            <w:sz w:val="22"/>
          </w:rPr>
          <w:t>193E—13.5</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The listing broker is responsible for the closing even though the closing may be completed by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val="false"/>
          <w:color w:val="000000"/>
          <w:sz w:val="22"/>
        </w:rPr>
        <w:t>If the closing transaction is handled through an unlicensed escrow agent and the escrow agent renders a closing statement, the listing broker ensures that funds which the broker has received or paid as part of the transaction are accounted for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val="false"/>
          <w:color w:val="000000"/>
          <w:sz w:val="22"/>
        </w:rPr>
        <w:t>In the case of a cooperative sale between brokers, the listing broker may elect to close the transaction or, by prior agreement, authorize the selling broker to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listing broker so elects, the selling broker has the buyer make the earnest money check or money order payable to the listing broker and immediately delivers the earnest money check or money order along with the offer to purchase to the listing broker or listing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by prior agreement the listing broker has authorized the selling broker to close, the offer to purchase designates that the earnest money is held in trust by the listing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by prior agreement the listing broker has authorized the selling broker to close, when cash is accepted as earnest money by the selling agent, the selling agent deposits the money in the selling broker’s trust account in accordance with commission rules, and then immediately transfers the earnest money deposit to the listing broker by issuing a check drawn on the selling broker’s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val="false"/>
          <w:color w:val="000000"/>
          <w:sz w:val="22"/>
        </w:rPr>
        <w:t>Any means other than cash or an immediately cashable check are not accepted as earnest money unless that fact is communicated to the seller prior to the acceptance of the offer to purchase, and is stated in the offer to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val="false"/>
          <w:color w:val="000000"/>
          <w:sz w:val="22"/>
        </w:rPr>
        <w:t>Brokers acting as agents for the buyer in a specific real estate transaction have the same criteria for retention of copies as stated in this rule, except that a buyer’s agent who is not a party to the listing contract is not obligated to retain a copy of the listing contract or the seller’s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w:t>
      </w:r>
      <w:r>
        <w:rPr>
          <w:rFonts w:ascii="Times New Roman" w:hAnsi="Times New Roman"/>
          <w:b w:val="false"/>
          <w:i w:val="false"/>
          <w:color w:val="000000"/>
          <w:sz w:val="22"/>
        </w:rPr>
        <w:t> </w:t>
      </w:r>
      <w:r>
        <w:rPr>
          <w:rFonts w:ascii="Times New Roman" w:hAnsi="Times New Roman"/>
          <w:b w:val="false"/>
          <w:i w:val="false"/>
          <w:color w:val="000000"/>
          <w:sz w:val="22"/>
        </w:rPr>
        <w:t>Iowa Court Rule 37.5, limited real estate practice. All Iowa real estate licensees should be aware that Iowa Court Rule 37.5 authorizes nonlawyers to select, prepare, and complete certain legal documents incident to residential real estate transactions of four units or less. The preparation of documents beyond that authorized by this court rule may constitute the unauthorized practice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193E—13.3</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cannot handle closing. </w:t>
      </w:r>
      <w:r>
        <w:rPr>
          <w:rFonts w:ascii="Times New Roman" w:hAnsi="Times New Roman"/>
          <w:b w:val="false"/>
          <w:i w:val="false"/>
          <w:color w:val="000000"/>
          <w:sz w:val="22"/>
        </w:rPr>
        <w:t>A salesperson cannot handle the closing of any real estate transaction except under the direct supervision or with the consent of the employing broker.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193E—13.4</w:t>
      </w:r>
      <w:r>
        <w:rPr>
          <w:rFonts w:ascii="Times New Roman" w:hAnsi="Times New Roman"/>
          <w:b/>
          <w:i w:val="false"/>
          <w:color w:val="000000"/>
          <w:sz w:val="22"/>
        </w:rPr>
        <w:t xml:space="preserve">(543B) </w:t>
      </w:r>
      <w:r>
        <w:rPr>
          <w:rFonts w:ascii="Times New Roman" w:hAnsi="Times New Roman"/>
          <w:b/>
          <w:i w:val="false"/>
          <w:color w:val="000000"/>
          <w:sz w:val="22"/>
        </w:rPr>
        <w:t xml:space="preserve">Consent to return earnest money not necessary. </w:t>
      </w:r>
      <w:r>
        <w:rPr>
          <w:rFonts w:ascii="Times New Roman" w:hAnsi="Times New Roman"/>
          <w:b w:val="false"/>
          <w:i w:val="false"/>
          <w:color w:val="000000"/>
          <w:sz w:val="22"/>
        </w:rPr>
        <w:t xml:space="preserve">When an offer to purchase is withdrawn or the acceptance is revoked without liability pursuant to Iowa Code chapter </w:t>
      </w:r>
      <w:hyperlink r:id="rId23">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any earnest money deposit is promptly returned to the buyer without delay. The seller’s consent and agreement to release the funds is not necessary. A copy of the written revocation or withdrawal is retained with the trust account supporting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193E—13.5</w:t>
      </w:r>
      <w:r>
        <w:rPr>
          <w:rFonts w:ascii="Times New Roman" w:hAnsi="Times New Roman"/>
          <w:b/>
          <w:i w:val="false"/>
          <w:color w:val="000000"/>
          <w:sz w:val="22"/>
        </w:rPr>
        <w:t xml:space="preserve">(543B) </w:t>
      </w:r>
      <w:r>
        <w:rPr>
          <w:rFonts w:ascii="Times New Roman" w:hAnsi="Times New Roman"/>
          <w:b/>
          <w:i w:val="false"/>
          <w:color w:val="000000"/>
          <w:sz w:val="22"/>
        </w:rPr>
        <w:t xml:space="preserve">File recordkeeping. </w:t>
      </w:r>
      <w:r>
        <w:rPr>
          <w:rFonts w:ascii="Times New Roman" w:hAnsi="Times New Roman"/>
          <w:b w:val="false"/>
          <w:i w:val="false"/>
          <w:color w:val="000000"/>
          <w:sz w:val="22"/>
        </w:rPr>
        <w:t>Every broker retains for a period of at least five years true copies of all business books; accounts, including voided checks; records; contracts; closing statements; disclosures; signed documents; the listing; any offers to purchase; and all correspondence relating to each real estate transaction that the broker has handled and each property managed. The records are made available for reproduction and inspection by the commission, staff, and commission-authorized representatives at all times during usual business hours at the broker’s regular place of business. If the brokerage closes, the records are made available for reproduction and inspection by the commission, staff, and commission-authorized representatives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val="false"/>
          <w:color w:val="000000"/>
          <w:sz w:val="22"/>
        </w:rPr>
        <w:t>Contracts and other documents that have been changed or altered to the point where the language is unreadable and faxed contracts and documents in which the language is unreadable are not acceptable records and are redrafted and signed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val="false"/>
          <w:color w:val="000000"/>
          <w:sz w:val="22"/>
        </w:rPr>
        <w:t>Copies of unreadable documents are not acceptable as true copies of the originals regardless of the medium.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val="false"/>
          <w:color w:val="000000"/>
          <w:sz w:val="22"/>
        </w:rPr>
        <w:t>Electronic records. The files, records, and other documents mandated by this chapter may be stored in electronic format for convenience and efficiency in a system for electronic record storage, analysis, and retrieval.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record obligated by this chapter may be retained as an electronic record only if the record storage medium can be easily accessed and the records can be readily retrieved and transferred to a legible printed form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scanning or electronic generation of a record is monitored to ensure that the copy is clear, legible and true before the original is shredded.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original record is transferred to the appropriate electronic storage medium consistent with this rule, the commission will no longer need the retention of the record in its original medium. For the purposes of this chapter, electronic records are considered the same as originals.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193E—13.6</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Licensee acting as a principal. </w:t>
      </w:r>
      <w:r>
        <w:rPr>
          <w:rFonts w:ascii="Times New Roman" w:hAnsi="Times New Roman"/>
          <w:b w:val="false"/>
          <w:i w:val="false"/>
          <w:color w:val="000000"/>
          <w:sz w:val="22"/>
        </w:rPr>
        <w:t>When a licensee is acting in the capacity of a real estate broker, broker associate or salesperson and is also a principal in the sale, lease, rental or exchange of property owned by the licensee, all payments, rent, or security deposits received from the lessee, renter or buyer are deposited into the broker’s trust account. The use of the broker’s trust account is not needed if all of the following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sale, rental, or exchange is strictly, clearly and completely a “by owner” transaction and there is not a listing or brokerage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 commission or other compensation is paid to or received by the licensee;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licensee does not function throughout the transaction in any capacity requiring a real estate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emergency 4/4/03—published 4/30/03, effective 4/4/03]</w:t>
      </w:r>
    </w:p>
    <w:p>
      <w:pPr>
        <w:spacing w:before="0" w:after="0"/>
        <w:ind w:left="120"/>
        <w:jc w:val="center"/>
      </w:pPr>
      <w:r>
        <w:rPr>
          <w:rFonts w:ascii="Times New Roman" w:hAnsi="Times New Roman"/>
          <w:b w:val="false"/>
          <w:i w:val="false"/>
          <w:color w:val="000000"/>
          <w:sz w:val="21"/>
        </w:rPr>
        <w:t>[Filed 8/16/04, Notice 4/14/04—published 9/15/04, effective 10/20/04]</w:t>
      </w:r>
    </w:p>
    <w:p>
      <w:pPr>
        <w:spacing w:before="0" w:after="0"/>
        <w:ind w:left="120"/>
        <w:jc w:val="center"/>
      </w:pPr>
      <w:r>
        <w:rPr>
          <w:rFonts w:ascii="Times New Roman" w:hAnsi="Times New Roman"/>
          <w:b w:val="false"/>
          <w:i w:val="false"/>
          <w:color w:val="000000"/>
          <w:sz w:val="21"/>
        </w:rPr>
        <w:t>[Filed 2/26/08, Notice 12/19/07—published 3/26/08, effective 4/30/08]</w:t>
      </w:r>
    </w:p>
    <w:p>
      <w:pPr>
        <w:spacing w:before="0" w:after="0"/>
        <w:ind w:left="120"/>
        <w:jc w:val="center"/>
      </w:pPr>
      <w:r>
        <w:rPr>
          <w:rFonts w:ascii="Times New Roman" w:hAnsi="Times New Roman"/>
          <w:b w:val="false"/>
          <w:i w:val="false"/>
          <w:color w:val="000000"/>
          <w:sz w:val="21"/>
        </w:rPr>
        <w:t>[Filed ARC 7559B</w:t>
      </w:r>
      <w:r>
        <w:rPr>
          <w:rFonts w:ascii="Times New Roman" w:hAnsi="Times New Roman"/>
          <w:b w:val="false"/>
          <w:i w:val="false"/>
          <w:color w:val="000000"/>
          <w:sz w:val="21"/>
        </w:rPr>
        <w:t xml:space="preserve"> (Notice ARC 7271B,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Without Notice ARC 0410C, IAB 10/31/12, effective 12/5/12]</w:t>
      </w:r>
    </w:p>
    <w:p>
      <w:pPr>
        <w:spacing w:before="0" w:after="0"/>
        <w:ind w:left="120"/>
        <w:jc w:val="center"/>
      </w:pPr>
      <w:r>
        <w:rPr>
          <w:rFonts w:ascii="Times New Roman" w:hAnsi="Times New Roman"/>
          <w:b w:val="false"/>
          <w:i w:val="false"/>
          <w:color w:val="000000"/>
          <w:sz w:val="21"/>
        </w:rPr>
        <w:t>[Filed ARC 3722C</w:t>
      </w:r>
      <w:r>
        <w:rPr>
          <w:rFonts w:ascii="Times New Roman" w:hAnsi="Times New Roman"/>
          <w:b w:val="false"/>
          <w:i w:val="false"/>
          <w:color w:val="000000"/>
          <w:sz w:val="21"/>
        </w:rPr>
        <w:t xml:space="preserve"> (Notice ARC 3564C, IAB 1/17/18)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7775C</w:t>
      </w:r>
      <w:r>
        <w:rPr>
          <w:rFonts w:ascii="Times New Roman" w:hAnsi="Times New Roman"/>
          <w:b w:val="false"/>
          <w:i w:val="false"/>
          <w:color w:val="000000"/>
          <w:sz w:val="21"/>
        </w:rPr>
        <w:t xml:space="preserve"> (Notice ARC 7454C,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46.pdf" Type="http://schemas.openxmlformats.org/officeDocument/2006/relationships/hyperlink" Id="rId5"/>
    <Relationship TargetMode="External" Target="https://www.legis.iowa.gov/docs/ico/chapter/543B.46.pdf" Type="http://schemas.openxmlformats.org/officeDocument/2006/relationships/hyperlink" Id="rId6"/>
    <Relationship TargetMode="External" Target="https://www.legis.iowa.gov/docs/ico/chapter/543B.46.pdf" Type="http://schemas.openxmlformats.org/officeDocument/2006/relationships/hyperlink" Id="rId7"/>
    <Relationship TargetMode="External" Target="https://www.legis.iowa.gov/docs/ico/chapter/562A.12.pdf" Type="http://schemas.openxmlformats.org/officeDocument/2006/relationships/hyperlink" Id="rId8"/>
    <Relationship TargetMode="External" Target="https://www.legis.iowa.gov/docs/ico/chapter/562B.13.pdf" Type="http://schemas.openxmlformats.org/officeDocument/2006/relationships/hyperlink" Id="rId9"/>
    <Relationship TargetMode="External" Target="https://www.legis.iowa.gov/docs/ico/chapter/543B.46.pdf" Type="http://schemas.openxmlformats.org/officeDocument/2006/relationships/hyperlink" Id="rId10"/>
    <Relationship TargetMode="External" Target="https://www.legis.iowa.gov/docs/ico/chapter/543B.46.pdf" Type="http://schemas.openxmlformats.org/officeDocument/2006/relationships/hyperlink" Id="rId11"/>
    <Relationship TargetMode="External" Target="https://www.legis.iowa.gov/docs/iac/rule/193E.13.1.pdf" Type="http://schemas.openxmlformats.org/officeDocument/2006/relationships/hyperlink" Id="rId12"/>
    <Relationship TargetMode="External" Target="https://www.legis.iowa.gov/docs/iac/rule/193E.13.1.pdf" Type="http://schemas.openxmlformats.org/officeDocument/2006/relationships/hyperlink" Id="rId13"/>
    <Relationship TargetMode="External" Target="https://www.legis.iowa.gov/docs/iac/rule/193E.13.1.pdf" Type="http://schemas.openxmlformats.org/officeDocument/2006/relationships/hyperlink" Id="rId14"/>
    <Relationship TargetMode="External" Target="https://www.legis.iowa.gov/docs/iac/rule/193E.13.1.pdf" Type="http://schemas.openxmlformats.org/officeDocument/2006/relationships/hyperlink" Id="rId15"/>
    <Relationship TargetMode="External" Target="https://www.legis.iowa.gov/docs/ico/chapter/562A.12.pdf" Type="http://schemas.openxmlformats.org/officeDocument/2006/relationships/hyperlink" Id="rId16"/>
    <Relationship TargetMode="External" Target="https://www.legis.iowa.gov/docs/ico/chapter/562B.13.pdf" Type="http://schemas.openxmlformats.org/officeDocument/2006/relationships/hyperlink" Id="rId17"/>
    <Relationship TargetMode="External" Target="https://www.legis.iowa.gov/docs/iac/rule/193E.13.1.pdf" Type="http://schemas.openxmlformats.org/officeDocument/2006/relationships/hyperlink" Id="rId18"/>
    <Relationship TargetMode="External" Target="https://www.legis.iowa.gov/docs/iac/rule/193E.13.1.pdf" Type="http://schemas.openxmlformats.org/officeDocument/2006/relationships/hyperlink" Id="rId19"/>
    <Relationship TargetMode="External" Target="https://www.legis.iowa.gov/docs/ico/chapter/556.pdf" Type="http://schemas.openxmlformats.org/officeDocument/2006/relationships/hyperlink" Id="rId20"/>
    <Relationship TargetMode="External" Target="https://www.legis.iowa.gov/docs/iac/rule/193E.13.5.pdf" Type="http://schemas.openxmlformats.org/officeDocument/2006/relationships/hyperlink" Id="rId21"/>
    <Relationship TargetMode="External" Target="https://www.legis.iowa.gov/docs/iac/rule/193E.13.5.pdf" Type="http://schemas.openxmlformats.org/officeDocument/2006/relationships/hyperlink" Id="rId22"/>
    <Relationship TargetMode="External" Target="https://www.legis.iowa.gov/docs/ico/chapter/558A.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43B.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