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6/15/88, see Real Estate Commission[700] Ch 1]</w:t>
      </w:r>
    </w:p>
    <w:p>
      <w:pPr>
        <w:spacing w:before="0" w:after="0"/>
        <w:ind w:left="120"/>
        <w:jc w:val="center"/>
      </w:pPr>
      <w:r>
        <w:rPr>
          <w:rFonts w:ascii="Times New Roman" w:hAnsi="Times New Roman"/>
          <w:b w:val="false"/>
          <w:i w:val="false"/>
          <w:color w:val="000000"/>
          <w:sz w:val="14"/>
        </w:rPr>
        <w:t>[Prior to 9/4/02, see 193E—Chs 2, 5, 7,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6">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7">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8">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w:t>
      </w:r>
      <w:r>
        <w:rPr>
          <w:rFonts w:ascii="Times New Roman" w:hAnsi="Times New Roman"/>
          <w:b/>
          <w:i w:val="false"/>
          <w:color w:val="000000"/>
          <w:sz w:val="22"/>
        </w:rPr>
        <w:t xml:space="preserve">(543B) </w:t>
      </w:r>
      <w:r>
        <w:rPr>
          <w:rFonts w:ascii="Times New Roman" w:hAnsi="Times New Roman"/>
          <w:b/>
          <w:i w:val="false"/>
          <w:color w:val="000000"/>
          <w:sz w:val="22"/>
        </w:rPr>
        <w:t xml:space="preserve">Correspondence and communications. </w:t>
      </w:r>
      <w:r>
        <w:rPr>
          <w:rFonts w:ascii="Times New Roman" w:hAnsi="Times New Roman"/>
          <w:b w:val="false"/>
          <w:i w:val="false"/>
          <w:color w:val="000000"/>
          <w:sz w:val="22"/>
        </w:rPr>
        <w:t>Correspondence and communications with the commission should be addressed or directed to the commission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193E—1.3</w:t>
      </w:r>
      <w:r>
        <w:rPr>
          <w:rFonts w:ascii="Times New Roman" w:hAnsi="Times New Roman"/>
          <w:b/>
          <w:i w:val="false"/>
          <w:color w:val="000000"/>
          <w:sz w:val="22"/>
        </w:rPr>
        <w:t xml:space="preserve">(543B) </w:t>
      </w:r>
      <w:r>
        <w:rPr>
          <w:rFonts w:ascii="Times New Roman" w:hAnsi="Times New Roman"/>
          <w:b/>
          <w:i w:val="false"/>
          <w:color w:val="000000"/>
          <w:sz w:val="22"/>
        </w:rPr>
        <w:t xml:space="preserve">Meetings of the commission. </w:t>
      </w:r>
      <w:r>
        <w:rPr>
          <w:rFonts w:ascii="Times New Roman" w:hAnsi="Times New Roman"/>
          <w:b w:val="false"/>
          <w:i w:val="false"/>
          <w:color w:val="000000"/>
          <w:sz w:val="22"/>
        </w:rPr>
        <w:t>Meetings of the commission are held at times scheduled by the commission in the offices of the commission or at a place designated by the commission. Special meetings may be called by the chairperson or executive officer of the commission, who sets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department of inspections, appeals, and licensing or the professional licensing and regulation division, the commission is the principal custodian of its own agency orders, statements of law or policy issued by the commission, legal documents, and other public documents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commission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Records, documents and other information may be gathered, stored, and available in electronic format. Information, various forms, documents, and the license law and rules may be reviewed or obtained at any time by the public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any deadline for filing a document that falls on a Saturday, Sunday, or official state holiday will be extended to the next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193E—1.5</w:t>
      </w:r>
      <w:r>
        <w:rPr>
          <w:rFonts w:ascii="Times New Roman" w:hAnsi="Times New Roman"/>
          <w:b/>
          <w:i w:val="false"/>
          <w:color w:val="000000"/>
          <w:sz w:val="22"/>
        </w:rPr>
        <w:t xml:space="preserve">(543B) </w:t>
      </w:r>
      <w:r>
        <w:rPr>
          <w:rFonts w:ascii="Times New Roman" w:hAnsi="Times New Roman"/>
          <w:b/>
          <w:i w:val="false"/>
          <w:color w:val="000000"/>
          <w:sz w:val="22"/>
        </w:rPr>
        <w:t xml:space="preserve">Investigation and subpoena. </w:t>
      </w:r>
      <w:r>
        <w:rPr>
          <w:rFonts w:ascii="Times New Roman" w:hAnsi="Times New Roman"/>
          <w:b w:val="false"/>
          <w:i w:val="false"/>
          <w:color w:val="000000"/>
          <w:sz w:val="22"/>
        </w:rPr>
        <w:t xml:space="preserve">Commission rules regarding investigations and investigatory subpoenas may be found in </w:t>
      </w:r>
      <w:hyperlink r:id="rId9">
        <w:r>
          <w:rPr>
            <w:rStyle w:val="Hyperlink"/>
            <w:rFonts w:ascii="Times New Roman" w:hAnsi="Times New Roman"/>
            <w:b w:val="false"/>
            <w:i w:val="false"/>
            <w:color w:val="000000"/>
            <w:sz w:val="22"/>
          </w:rPr>
          <w:t>193E—Chapter 18</w:t>
        </w:r>
      </w:hyperlink>
      <w:r>
        <w:rPr>
          <w:rFonts w:ascii="Times New Roman" w:hAnsi="Times New Roman"/>
          <w:b w:val="false"/>
          <w:i w:val="false"/>
          <w:color w:val="000000"/>
          <w:sz w:val="22"/>
        </w:rPr>
        <w:t xml:space="preserve"> and in the uniform rules for the professional licensing and regulation division at </w:t>
      </w:r>
      <w:hyperlink r:id="rId10">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w:t>
      </w:r>
      <w:r>
        <w:rPr>
          <w:rFonts w:ascii="Times New Roman" w:hAnsi="Times New Roman"/>
          <w:b/>
          <w:i w:val="false"/>
          <w:color w:val="000000"/>
          <w:sz w:val="22"/>
        </w:rPr>
        <w:t xml:space="preserve">(543B) </w:t>
      </w:r>
      <w:r>
        <w:rPr>
          <w:rFonts w:ascii="Times New Roman" w:hAnsi="Times New Roman"/>
          <w:b/>
          <w:i w:val="false"/>
          <w:color w:val="000000"/>
          <w:sz w:val="22"/>
        </w:rPr>
        <w:t xml:space="preserve">Impaired licensee review committees. </w:t>
      </w:r>
      <w:r>
        <w:rPr>
          <w:rFonts w:ascii="Times New Roman" w:hAnsi="Times New Roman"/>
          <w:b w:val="false"/>
          <w:i w:val="false"/>
          <w:color w:val="000000"/>
          <w:sz w:val="22"/>
        </w:rPr>
        <w:t xml:space="preserve">Commission rules governing impaired licensee review committees may be found in the uniform rules for the professional licensing and regulation division at </w:t>
      </w:r>
      <w:hyperlink r:id="rId11">
        <w:r>
          <w:rPr>
            <w:rStyle w:val="Hyperlink"/>
            <w:rFonts w:ascii="Times New Roman" w:hAnsi="Times New Roman"/>
            <w:b w:val="false"/>
            <w:i w:val="false"/>
            <w:color w:val="000000"/>
            <w:sz w:val="22"/>
          </w:rPr>
          <w:t>193—Chapter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7763C</w:t>
      </w:r>
      <w:r>
        <w:rPr>
          <w:rFonts w:ascii="Times New Roman" w:hAnsi="Times New Roman"/>
          <w:b w:val="false"/>
          <w:i w:val="false"/>
          <w:color w:val="000000"/>
          <w:sz w:val="21"/>
        </w:rPr>
        <w:t xml:space="preserve"> (Notice ARC 7442C,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C.pdf" Type="http://schemas.openxmlformats.org/officeDocument/2006/relationships/hyperlink" Id="rId6"/>
    <Relationship TargetMode="External" Target="https://www.legis.iowa.gov/docs/ico/chapter/557A.pdf" Type="http://schemas.openxmlformats.org/officeDocument/2006/relationships/hyperlink" Id="rId7"/>
    <Relationship TargetMode="External" Target="https://www.legis.iowa.gov/docs/ico/chapter/543C.4.pdf" Type="http://schemas.openxmlformats.org/officeDocument/2006/relationships/hyperlink" Id="rId8"/>
    <Relationship TargetMode="External" Target="https://www.legis.iowa.gov/docs/iac/chapter/193E.18.pdf" Type="http://schemas.openxmlformats.org/officeDocument/2006/relationships/hyperlink" Id="rId9"/>
    <Relationship TargetMode="External" Target="https://www.legis.iowa.gov/docs/iac/chapter/193.6.pdf" Type="http://schemas.openxmlformats.org/officeDocument/2006/relationships/hyperlink" Id="rId10"/>
    <Relationship TargetMode="External" Target="https://www.legis.iowa.gov/docs/iac/chapter/193.1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61.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co/chapter/543B.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