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LICENSURE</w:t>
      </w:r>
    </w:p>
    <w:p>
      <w:pPr>
        <w:spacing w:before="0" w:after="0"/>
        <w:ind w:left="120"/>
        <w:jc w:val="center"/>
      </w:pPr>
      <w:r>
        <w:rPr>
          <w:rFonts w:ascii="Times New Roman" w:hAnsi="Times New Roman"/>
          <w:b w:val="false"/>
          <w:i w:val="false"/>
          <w:color w:val="000000"/>
          <w:sz w:val="14"/>
        </w:rPr>
        <w:t>[Prior to 7/13/88, see Architectural Examiners, Board of[80]]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193B—2.1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“Architectural intern”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“intern architect” </w:t>
      </w:r>
      <w:r>
        <w:rPr>
          <w:rFonts w:ascii="Times New Roman" w:hAnsi="Times New Roman"/>
          <w:b w:val="false"/>
          <w:i w:val="false"/>
          <w:color w:val="000000"/>
          <w:sz w:val="22"/>
        </w:rPr>
        <w:t>means an individual who holds a professional degree from a NAAB-accredited program or the equivalent as deemed by the board, has completed or is currently enrolled in the National Council of Architectural Registration Boards (NCARB) Architectural Experience Program (AXP), and intends to actively pursue licensure by completing the Architect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 </w:t>
      </w:r>
      <w:r>
        <w:rPr>
          <w:rFonts w:ascii="Times New Roman" w:hAnsi="Times New Roman"/>
          <w:b w:val="false"/>
          <w:i w:val="false"/>
          <w:color w:val="000000"/>
          <w:sz w:val="22"/>
        </w:rPr>
        <w:t>means the current Architect Registration Examination, as prepared and graded by the NCARB.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“AXP applicant” </w:t>
      </w:r>
      <w:r>
        <w:rPr>
          <w:rFonts w:ascii="Times New Roman" w:hAnsi="Times New Roman"/>
          <w:b w:val="false"/>
          <w:i w:val="false"/>
          <w:color w:val="000000"/>
          <w:sz w:val="22"/>
        </w:rPr>
        <w:t>means an individual who has completed the AXP training requirements set forth in the NCARB Architectural Experience Program Guidelines and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the current Architect Registration Examination (ARE)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w:t>
      </w:r>
      <w:r>
        <w:rPr>
          <w:rFonts w:ascii="Times New Roman" w:hAnsi="Times New Roman"/>
          <w:b w:val="false"/>
          <w:i w:val="false"/>
          <w:color w:val="000000"/>
          <w:sz w:val="22"/>
        </w:rPr>
        <w:t>means that an architect is not engaged in Iowa in any practice for which a certificate of licensure is required, including architects who have retired from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“NAAB” </w:t>
      </w:r>
      <w:r>
        <w:rPr>
          <w:rFonts w:ascii="Times New Roman" w:hAnsi="Times New Roman"/>
          <w:b w:val="false"/>
          <w:i w:val="false"/>
          <w:color w:val="000000"/>
          <w:sz w:val="22"/>
        </w:rPr>
        <w:t>means the National Architectural Accrediting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“NCARB” </w:t>
      </w:r>
      <w:r>
        <w:rPr>
          <w:rFonts w:ascii="Times New Roman" w:hAnsi="Times New Roman"/>
          <w:b w:val="false"/>
          <w:i w:val="false"/>
          <w:color w:val="000000"/>
          <w:sz w:val="22"/>
        </w:rPr>
        <w:t xml:space="preserve">means the National Council of Architectural Registration Boards. The NCARB Architect Registration Examination Guidelines, NCARB Architectural Experience Program Guidelines, and NCARB Certification Guidelines are available through the National Council of Architectural Registration Boards, 1401 H Street NW, Suite 500, Washington, DC 20005; NCARB’s website, </w:t>
      </w:r>
      <w:hyperlink r:id="rId6">
        <w:r>
          <w:rPr>
            <w:rStyle w:val="Hyperlink"/>
            <w:rFonts w:ascii="Times New Roman" w:hAnsi="Times New Roman"/>
            <w:b w:val="false"/>
            <w:i w:val="false"/>
            <w:color w:val="000000"/>
            <w:sz w:val="22"/>
            <w:u w:val="single"/>
          </w:rPr>
          <w:t>www.ncarb.org</w:t>
        </w:r>
      </w:hyperlink>
      <w:r>
        <w:rPr>
          <w:rFonts w:ascii="Times New Roman" w:hAnsi="Times New Roman"/>
          <w:b w:val="false"/>
          <w:i w:val="false"/>
          <w:color w:val="000000"/>
          <w:sz w:val="22"/>
        </w:rPr>
        <w:t>;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“NCARB Architect Registration Examination (ARE) Guidelines” </w:t>
      </w:r>
      <w:r>
        <w:rPr>
          <w:rFonts w:ascii="Times New Roman" w:hAnsi="Times New Roman"/>
          <w:b w:val="false"/>
          <w:i w:val="false"/>
          <w:color w:val="000000"/>
          <w:sz w:val="22"/>
        </w:rPr>
        <w:t>means the edition of a document by the same title published by the National Council of Architectural Registration Boards in February 2024. The document outlines the requirements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“NCARB Architectural Experience Program Guidelines” </w:t>
      </w:r>
      <w:r>
        <w:rPr>
          <w:rFonts w:ascii="Times New Roman" w:hAnsi="Times New Roman"/>
          <w:b w:val="false"/>
          <w:i w:val="false"/>
          <w:color w:val="000000"/>
          <w:sz w:val="22"/>
        </w:rPr>
        <w:t>means the edition of a document by the same title published by the National Council of Architectural Registration Boards in May 2020. The document outlines the requirements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“NCARB Certification Guidelines” </w:t>
      </w:r>
      <w:r>
        <w:rPr>
          <w:rFonts w:ascii="Times New Roman" w:hAnsi="Times New Roman"/>
          <w:b w:val="false"/>
          <w:i w:val="false"/>
          <w:color w:val="000000"/>
          <w:sz w:val="22"/>
        </w:rPr>
        <w:t>means the edition of a document by the same title published by the National Council of Architectural Registration Boards in July 2022. The document outlines the requirements for licensure as an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“NCARB Education Guidelines”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“NCARB Education Standards” </w:t>
      </w:r>
      <w:r>
        <w:rPr>
          <w:rFonts w:ascii="Times New Roman" w:hAnsi="Times New Roman"/>
          <w:b w:val="false"/>
          <w:i w:val="false"/>
          <w:color w:val="000000"/>
          <w:sz w:val="22"/>
        </w:rPr>
        <w:t>means the edition of a document by the same title published by the National Council of Architectural Registration Boards in December 2023. The document outlines the requirements for licensure as an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193B—2.2</w:t>
      </w:r>
      <w:r>
        <w:rPr>
          <w:rFonts w:ascii="Times New Roman" w:hAnsi="Times New Roman"/>
          <w:b/>
          <w:i w:val="false"/>
          <w:color w:val="000000"/>
          <w:sz w:val="22"/>
        </w:rPr>
        <w:t xml:space="preserve">(544A,17A) </w:t>
      </w:r>
      <w:r>
        <w:rPr>
          <w:rFonts w:ascii="Times New Roman" w:hAnsi="Times New Roman"/>
          <w:b/>
          <w:i w:val="false"/>
          <w:color w:val="000000"/>
          <w:sz w:val="22"/>
        </w:rPr>
        <w:t xml:space="preserve">Licensure. </w:t>
      </w:r>
      <w:r>
        <w:rPr>
          <w:rFonts w:ascii="Times New Roman" w:hAnsi="Times New Roman"/>
          <w:b w:val="false"/>
          <w:i w:val="false"/>
          <w:color w:val="000000"/>
          <w:sz w:val="22"/>
        </w:rPr>
        <w:t>All applicants for licensure will complete an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To be eligible for licensure by examination, all applicants will have obtained an accredited professional architectural degree from the NAAB, have passed all divisions of the ARE prepared and provided by the NCARB, have completed the NCARB Architectural Experience Program, and have attained an NCARB council record. A completed NCARB council record shall be transmitted to and filed in the board office. Upon receipt of the council record from NCARB, the board will provide the applicant with an application for licensure form, which must be completed and returned to the board within three months of receipt of the council record. The board shall issue a license number to the applicant upon receipt of the completed application form and appropriate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Examinations for licensure as an architect shall be conducted by the board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shall make use of the ARE prepared and graded by NCARB under a plan of cooperation with the architectural examining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make use of a testing service selected by NCARB to administer the examination, provided the examination is held in at least one location within the boundaries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admittance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completed the eligibility requirements of the education standards for NCARB certification, which include a professional degree from a program accredited by the NAAB or other NCARB-approved education program, or be a student actively participating in an NCARB-accepted Integrated Path to Architectural Licensure (IPAL) option within an NCARB-approved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enrolled in or have completed the NCARB AXP.</w:t>
      </w:r>
    </w:p>
    <w:p>
      <w:pPr>
        <w:spacing w:before="0" w:after="0"/>
        <w:ind w:left="120"/>
        <w:jc w:val="both"/>
      </w:pPr>
      <w:r>
        <w:rPr>
          <w:rFonts w:ascii="Times New Roman" w:hAnsi="Times New Roman"/>
          <w:b w:val="false"/>
          <w:i w:val="false"/>
          <w:color w:val="000000"/>
          <w:sz w:val="22"/>
        </w:rPr>
        <w:t>NCARB shall notify the testing service of the applicant’s eligibility prior to the applicant’s scheduling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AXP eligibility requirements will be verified and satisfied in accordance with the NCARB Architectural Experience Program Guidelines. Documentation of AXP training units will be submitted on AXP report forms published by NCARB and will be verified by signatures of the licensed architects serving as the intern architect’s supervisors in accordance with the requirements outlined in the NCARB Architectural Experience Program Guidelines. The completed AXP report form shall demonstrate attainment of an aggregate of the minimum number of value units in each training area and shall be submitted to NCARB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or the board administrator may waive examination requirements for applicants who, at the time of application, are licensed as architects in a different jurisdiction and hold an active NCARB certificate. All such applicants who hold an active NCARB certificate are deemed to possess qualifications that are substantially equivalent to those required of applicants for initial licensure in this state. An active NCARB council certificate shall be transmitted to and filed in the board office. Upon receipt of the certificate from NCARB, the board will provide the applicant with an application for licensure form, which must be completed and returned to the board within three months of receipt of the council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The board may grant registration via verification as provided for in </w:t>
      </w:r>
      <w:hyperlink r:id="rId7">
        <w:r>
          <w:rPr>
            <w:rStyle w:val="Hyperlink"/>
            <w:rFonts w:ascii="Times New Roman" w:hAnsi="Times New Roman"/>
            <w:b w:val="false"/>
            <w:i w:val="false"/>
            <w:color w:val="000000"/>
            <w:sz w:val="22"/>
          </w:rPr>
          <w:t>193—Chapter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8">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color w:val="000000"/>
          <w:sz w:val="22"/>
        </w:rPr>
        <w:t xml:space="preserve">Applicants seeking architectural commission in Iowa. </w:t>
      </w:r>
      <w:r>
        <w:rPr>
          <w:rFonts w:ascii="Times New Roman" w:hAnsi="Times New Roman"/>
          <w:b w:val="false"/>
          <w:i w:val="false"/>
          <w:color w:val="000000"/>
          <w:sz w:val="22"/>
        </w:rPr>
        <w:t>A person seeking an architectural commission in this state may be admitted to this state for the purpose of offering to provide architectural services, and for that purpose only, without first being licensed in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holds an NCARB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holds a current and valid license issued by a licensing authority recognized by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notifies the board in writing on a form provided by the board that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an NCARB certificate and a current and valid license issued by a licensing authority recognized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currently licensed in this state but will be present in this state for the purpose of offering to provide architectural services on a temporary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 previous or pending disciplinary action by any licensing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delivers a copy of the notice referred to in paragraph </w:t>
      </w:r>
      <w:hyperlink r:id="rId9">
        <w:r>
          <w:rPr>
            <w:rStyle w:val="Hyperlink"/>
            <w:rFonts w:ascii="Times New Roman" w:hAnsi="Times New Roman"/>
            <w:b w:val="false"/>
            <w:i w:val="false"/>
            <w:color w:val="000000"/>
            <w:sz w:val="22"/>
          </w:rPr>
          <w:t>2.2(5)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every potential client to whom the person offers to provide 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provides the board with a sworn statement of intent to apply immediately to the board for licensure if selected as the architect for a project in this state.</w:t>
      </w:r>
    </w:p>
    <w:p>
      <w:pPr>
        <w:spacing w:before="0" w:after="0"/>
        <w:ind w:left="120"/>
        <w:jc w:val="both"/>
      </w:pPr>
      <w:r>
        <w:rPr>
          <w:rFonts w:ascii="Times New Roman" w:hAnsi="Times New Roman"/>
          <w:b w:val="false"/>
          <w:i w:val="false"/>
          <w:color w:val="000000"/>
          <w:sz w:val="22"/>
        </w:rPr>
        <w:t>The person is prohibited from actually providing architectural services until the person has been issued a valid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w:t>
      </w:r>
      <w:r>
        <w:rPr>
          <w:rFonts w:ascii="Times New Roman" w:hAnsi="Times New Roman"/>
          <w:b w:val="false"/>
          <w:i w:val="false"/>
          <w:color w:val="000000"/>
          <w:sz w:val="22"/>
        </w:rPr>
        <w:t> </w:t>
      </w:r>
      <w:r>
        <w:rPr>
          <w:rFonts w:ascii="Times New Roman" w:hAnsi="Times New Roman"/>
          <w:b w:val="false"/>
          <w:i/>
          <w:color w:val="000000"/>
          <w:sz w:val="22"/>
        </w:rPr>
        <w:t xml:space="preserve">Board refusal to issue license. </w:t>
      </w:r>
      <w:r>
        <w:rPr>
          <w:rFonts w:ascii="Times New Roman" w:hAnsi="Times New Roman"/>
          <w:b w:val="false"/>
          <w:i w:val="false"/>
          <w:color w:val="000000"/>
          <w:sz w:val="22"/>
        </w:rPr>
        <w:t>The board may refuse to issue a certificate of licensure to any person otherwise qualified upon any of the grounds for which a license may be revoked or suspended or may otherwise discipline a licensee based upon a suspension, revocation, or other disciplinary action taken by a licensing authority in this or another jurisdiction. For purposes of this subrule, “disciplinary action” includes the voluntary surrender of a license to resolve a pending disciplinary investigation or proceeding. A certified copy of the record or order of suspension, revocation, voluntary surrender, or other disciplinary action is prima facie evidence of such fact.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193B—2.3</w:t>
      </w:r>
      <w:r>
        <w:rPr>
          <w:rFonts w:ascii="Times New Roman" w:hAnsi="Times New Roman"/>
          <w:b/>
          <w:i w:val="false"/>
          <w:color w:val="000000"/>
          <w:sz w:val="22"/>
        </w:rPr>
        <w:t xml:space="preserve">(17A,272C,544A) </w:t>
      </w:r>
      <w:r>
        <w:rPr>
          <w:rFonts w:ascii="Times New Roman" w:hAnsi="Times New Roman"/>
          <w:b/>
          <w:i w:val="false"/>
          <w:color w:val="000000"/>
          <w:sz w:val="22"/>
        </w:rPr>
        <w:t xml:space="preserve">Renewal of certificates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architecture in Iowa until the certificate is reinstated as provided in rule </w:t>
      </w:r>
      <w:hyperlink r:id="rId10">
        <w:r>
          <w:rPr>
            <w:rStyle w:val="Hyperlink"/>
            <w:rFonts w:ascii="Times New Roman" w:hAnsi="Times New Roman"/>
            <w:b w:val="false"/>
            <w:i w:val="false"/>
            <w:color w:val="000000"/>
            <w:sz w:val="22"/>
          </w:rPr>
          <w:t>193B—2.4</w:t>
        </w:r>
      </w:hyperlink>
      <w:r>
        <w:rPr>
          <w:rFonts w:ascii="Times New Roman" w:hAnsi="Times New Roman"/>
          <w:b w:val="false"/>
          <w:i w:val="false"/>
          <w:color w:val="000000"/>
          <w:sz w:val="22"/>
        </w:rPr>
        <w:t>(544A,17A).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whose last name begins with the letter A through K will renew in even-numbered years, and a licensee whose last name begins with the letter L through Z will renew in odd-numbered years. However, a license issued on or after May 1 but before June 30 will not expire until June 30 of the next renewal. For example, a license issued on May 17, 2020, would not expire until June 30,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licensee a notice of the pending expiration date at the licensee’s last-known address approximately one month prior to the date the certificate of licensure is scheduled to expire. The notice, when provided, may be by email communication.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board’s receipt of a timely and sufficient renewal application as provided in </w:t>
      </w:r>
      <w:hyperlink r:id="rId11">
        <w:r>
          <w:rPr>
            <w:rStyle w:val="Hyperlink"/>
            <w:rFonts w:ascii="Times New Roman" w:hAnsi="Times New Roman"/>
            <w:b w:val="false"/>
            <w:i w:val="false"/>
            <w:color w:val="000000"/>
            <w:sz w:val="22"/>
          </w:rPr>
          <w:t>193—subrule 7.40(3)</w:t>
        </w:r>
      </w:hyperlink>
      <w:r>
        <w:rPr>
          <w:rFonts w:ascii="Times New Roman" w:hAnsi="Times New Roman"/>
          <w:b w:val="false"/>
          <w:i w:val="false"/>
          <w:color w:val="000000"/>
          <w:sz w:val="22"/>
        </w:rPr>
        <w:t xml:space="preserve">, the board’s administrator will issue a new certificate of licensure reflecting the next expiration date unless grounds exist for denial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12">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3">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the board may, in lieu of proceeding to a contested case hearing on the denial of a renewal application as provided in rule </w:t>
      </w:r>
      <w:hyperlink r:id="rId14">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 xml:space="preserve">(546,272C), and after or in lieu of giving the licensee an opportunity to come into compliance under </w:t>
      </w:r>
      <w:hyperlink r:id="rId15">
        <w:r>
          <w:rPr>
            <w:rStyle w:val="Hyperlink"/>
            <w:rFonts w:ascii="Times New Roman" w:hAnsi="Times New Roman"/>
            <w:b w:val="false"/>
            <w:i w:val="false"/>
            <w:color w:val="000000"/>
            <w:sz w:val="22"/>
          </w:rPr>
          <w:t>193B—subrule 3.3(3)</w:t>
        </w:r>
      </w:hyperlink>
      <w:r>
        <w:rPr>
          <w:rFonts w:ascii="Times New Roman" w:hAnsi="Times New Roman"/>
          <w:b w:val="false"/>
          <w:i w:val="false"/>
          <w:color w:val="000000"/>
          <w:sz w:val="22"/>
        </w:rPr>
        <w:t xml:space="preserve">, offer a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applicant pursuant to </w:t>
      </w:r>
      <w:hyperlink r:id="rId16">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may notify a licensee whose certificate of licensure has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architecture in Iowa after the license has expired may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This subrule establishes a procedure under which a person issued a certificate of licensure as an architect may apply to the board to be licensed as inactive. Licensure under this subrule is available to a license holder who is not engaged in Iowa in any practice for which licensure as an architect is required. A person eligible to be licensed as inactive may, as an alternative to such licensure, allow the certificate of licensure to lapse. During any period of inactive status, a person may use the title “inactive architect” or “retired architect,” but may not use the sole title of “architect” or any other title that might imply that the person is offering services as an architect by such an action in violation of Iowa Code section </w:t>
      </w:r>
      <w:hyperlink r:id="rId17">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has lapsed through the person’s failure to renew. A person who is licensed as inactive will accordingly receive renewal applications,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form will contain a statement in which the applicant affirms that the applicant will not engage in any of the practices in Iowa that are listed in Iowa Code section </w:t>
      </w:r>
      <w:hyperlink r:id="rId18">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rule </w:t>
      </w:r>
      <w:hyperlink r:id="rId19">
        <w:r>
          <w:rPr>
            <w:rStyle w:val="Hyperlink"/>
            <w:rFonts w:ascii="Times New Roman" w:hAnsi="Times New Roman"/>
            <w:b w:val="false"/>
            <w:i w:val="false"/>
            <w:color w:val="000000"/>
            <w:sz w:val="22"/>
          </w:rPr>
          <w:t>193B—2.5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shall be exempt from the continuing education requirements and will be charged a reduced renewal fee as provided in rule </w:t>
      </w:r>
      <w:hyperlink r:id="rId20">
        <w:r>
          <w:rPr>
            <w:rStyle w:val="Hyperlink"/>
            <w:rFonts w:ascii="Times New Roman" w:hAnsi="Times New Roman"/>
            <w:b w:val="false"/>
            <w:i w:val="false"/>
            <w:color w:val="000000"/>
            <w:sz w:val="22"/>
          </w:rPr>
          <w:t>193B—2.9</w:t>
        </w:r>
      </w:hyperlink>
      <w:r>
        <w:rPr>
          <w:rFonts w:ascii="Times New Roman" w:hAnsi="Times New Roman"/>
          <w:b w:val="false"/>
          <w:i w:val="false"/>
          <w:color w:val="000000"/>
          <w:sz w:val="22"/>
        </w:rPr>
        <w:t xml:space="preserve">(544A,17A). An inactive certificate of licensure will lapse if not timely renewed.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Such services may be performed as long as the person does not in connection with such services use the title “architect” or any other title restricted for use only by architects pursuant to Iowa Code section </w:t>
      </w:r>
      <w:hyperlink r:id="rId21">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(without additional designations such as “inactive” or “retired”). Restricted titles may be used only by active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sections </w:t>
      </w:r>
      <w:hyperlink r:id="rId22">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is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 person whose license as an architect has been placed on probation, suspended, revoked, or voluntarily surrendered in connection with a disciplinary investigation or proceeding shall not be eligible for inactive status unless, upon appropriate application, the board first reinstates the license to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lapsed certificate of licensure to active status. </w:t>
      </w:r>
      <w:r>
        <w:rPr>
          <w:rFonts w:ascii="Times New Roman" w:hAnsi="Times New Roman"/>
          <w:b w:val="false"/>
          <w:i w:val="false"/>
          <w:color w:val="000000"/>
          <w:sz w:val="22"/>
        </w:rPr>
        <w:t>An individual may reinstate a lapsed certificate of licensure to active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 per month shall not be assessed if the applicant for reinstatement did not, during the period of lapse, engage in any acts or practices for which an active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applicant’s professional activities performed in Iowa during the period in which the individual was unlicensed. The statement shall include a list of all projects with which the applicant had involvement and shall explain the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which should have been reported on the June 30 renewal date on which the applicant failed to renew, and 12 continuing education hours for each year or portion of a year of expired licensure up to a maximum of 48 continuing education hours. All continuing education hours must be completed in health, safety, and welfare subjects acquired in structured educational activities and be in compliance with requirements in </w:t>
      </w:r>
      <w:hyperlink r:id="rId24">
        <w:r>
          <w:rPr>
            <w:rStyle w:val="Hyperlink"/>
            <w:rFonts w:ascii="Times New Roman" w:hAnsi="Times New Roman"/>
            <w:b w:val="false"/>
            <w:i w:val="false"/>
            <w:color w:val="000000"/>
            <w:sz w:val="22"/>
          </w:rPr>
          <w:t>193B—Chapter 3</w:t>
        </w:r>
      </w:hyperlink>
      <w:r>
        <w:rPr>
          <w:rFonts w:ascii="Times New Roman" w:hAnsi="Times New Roman"/>
          <w:b w:val="false"/>
          <w:i w:val="false"/>
          <w:color w:val="000000"/>
          <w:sz w:val="22"/>
        </w:rPr>
        <w:t xml:space="preserve">. The hours reported shall not have been earned more than four years prior to the date of the application to reinstate to active status. The continuing education hours used for reinstatement may not be used again at the next renewal.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193B—2.5</w:t>
      </w:r>
      <w:r>
        <w:rPr>
          <w:rFonts w:ascii="Times New Roman" w:hAnsi="Times New Roman"/>
          <w:b/>
          <w:i w:val="false"/>
          <w:color w:val="000000"/>
          <w:sz w:val="22"/>
        </w:rPr>
        <w:t xml:space="preserve">(544A) </w:t>
      </w:r>
      <w:r>
        <w:rPr>
          <w:rFonts w:ascii="Times New Roman" w:hAnsi="Times New Roman"/>
          <w:b/>
          <w:i w:val="false"/>
          <w:color w:val="000000"/>
          <w:sz w:val="22"/>
        </w:rPr>
        <w:t xml:space="preserve">Reinstatement from inactive status to active status.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Pay one-half of the current active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in compliance with requirements in </w:t>
      </w:r>
      <w:hyperlink r:id="rId25">
        <w:r>
          <w:rPr>
            <w:rStyle w:val="Hyperlink"/>
            <w:rFonts w:ascii="Times New Roman" w:hAnsi="Times New Roman"/>
            <w:b w:val="false"/>
            <w:i w:val="false"/>
            <w:color w:val="000000"/>
            <w:sz w:val="22"/>
          </w:rPr>
          <w:t>193B—Chapter 3</w:t>
        </w:r>
      </w:hyperlink>
      <w:r>
        <w:rPr>
          <w:rFonts w:ascii="Times New Roman" w:hAnsi="Times New Roman"/>
          <w:b w:val="false"/>
          <w:i w:val="false"/>
          <w:color w:val="000000"/>
          <w:sz w:val="22"/>
        </w:rPr>
        <w:t>.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statement in which the applicant affirms that the applicant has not engaged in any of the practices in Iowa that are listed in Iowa Code section </w:t>
      </w:r>
      <w:hyperlink r:id="rId26">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during the period of inactive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193B—2.6</w:t>
      </w:r>
      <w:r>
        <w:rPr>
          <w:rFonts w:ascii="Times New Roman" w:hAnsi="Times New Roman"/>
          <w:b/>
          <w:i w:val="false"/>
          <w:color w:val="000000"/>
          <w:sz w:val="22"/>
        </w:rPr>
        <w:t xml:space="preserve">(544A,17A) </w:t>
      </w:r>
      <w:r>
        <w:rPr>
          <w:rFonts w:ascii="Times New Roman" w:hAnsi="Times New Roman"/>
          <w:b/>
          <w:i w:val="false"/>
          <w:color w:val="000000"/>
          <w:sz w:val="22"/>
        </w:rPr>
        <w:t xml:space="preserve">Finding of probable cause for unlicensed practice. </w:t>
      </w:r>
      <w:r>
        <w:rPr>
          <w:rFonts w:ascii="Times New Roman" w:hAnsi="Times New Roman"/>
          <w:b w:val="false"/>
          <w:i w:val="false"/>
          <w:color w:val="000000"/>
          <w:sz w:val="22"/>
        </w:rPr>
        <w:t xml:space="preserve">The board may find probable cause to file charges for unlicensed practice if the individual continues to offer services defined as the practice of architecture outlined in Iowa Code section </w:t>
      </w:r>
      <w:hyperlink r:id="rId27">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while using the title “architect,” “architectural designer,” or similar designation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architect is responsible for verifying the accuracy of the information submitted on an application regardless of how the application is submitted or by whom it is submitted. For instance, if the office manager of an architect’s firm submits an application for renewal on behalf of the architect and that information is incorrect, the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193B—2.8</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Application denial. </w:t>
      </w:r>
      <w:r>
        <w:rPr>
          <w:rFonts w:ascii="Times New Roman" w:hAnsi="Times New Roman"/>
          <w:b w:val="false"/>
          <w:i w:val="false"/>
          <w:color w:val="000000"/>
          <w:sz w:val="22"/>
        </w:rPr>
        <w:t xml:space="preserve">An application may be denied on the grounds provided in Iowa Code chapter </w:t>
      </w:r>
      <w:hyperlink r:id="rId28">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in rule </w:t>
      </w:r>
      <w:hyperlink r:id="rId29">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shall not prevent the later initiation of a contested case to challenge a licensee’s qualifications for licensure. The board may also deny a license on the grounds of submitting a false statement or submission of material fact on an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193B—2.9</w:t>
      </w:r>
      <w:r>
        <w:rPr>
          <w:rFonts w:ascii="Times New Roman" w:hAnsi="Times New Roman"/>
          <w:b/>
          <w:i w:val="false"/>
          <w:color w:val="000000"/>
          <w:sz w:val="22"/>
        </w:rPr>
        <w:t xml:space="preserve">(544A,17A)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 xml:space="preserve">Under the authority provided in Iowa Code chapter </w:t>
      </w:r>
      <w:hyperlink r:id="rId3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the following fees are hereby adopted:</w:t>
      </w:r>
    </w:p>
    <w:tbl>
      <w:tblPr>
        <w:tblW w:w="5000" w:type="pct"/>
        <w:tblCellSpacing w:w="0" w:type="auto"/>
        <w:tblBorders>
          <w:top w:val="none"/>
          <w:left w:val="none"/>
          <w:bottom w:val="none"/>
          <w:right w:val="none"/>
          <w:insideH w:val="none"/>
          <w:insideV w:val="none"/>
        </w:tblBorders>
        <w:tblLayout w:type="fixed"/>
      </w:tblPr>
      <w:tblGrid>
        <w:gridCol w:w="7293"/>
        <w:gridCol w:w="4213"/>
      </w:tblGrid>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Examination fees:</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7293" w:type="dxa"/>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1"/>
              </w:rPr>
              <w:t>Fees for examination subjects shall be paid directly to the testing service selected by NCARB.</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Initial license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9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(plus $5 per month until renewal)</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Reciprocal application and license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Verification application and license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renewal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renewal fee (inactive)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735"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lapsed individual license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renewal fee + $25 per month or partial month of expired license</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inactive individual license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Duplicate wall certificate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License predetermination fee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Fee for return of payment</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w:t>
            </w:r>
          </w:p>
        </w:tc>
      </w:tr>
      <w:tr>
        <w:trPr>
          <w:trHeight w:val="270" w:hRule="atLeast"/>
        </w:trPr>
        <w:tc>
          <w:tcPr>
            <w:tcW w:w="7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All fees are nonrefundable.</w:t>
            </w:r>
          </w:p>
        </w:tc>
        <w:tc>
          <w:tcPr>
            <w:tcW w:w="4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1/23/81, Notice 9/3/80—published 2/18/81, effective 3/25/81]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9/13/85, Notice 6/19/85—published 10/9/85, effective 11/13/85]</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9/15/89, Notice 7/12/89—published 10/4/89, effective 11/8/89]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6/17/98—published 12/2/98, effective 1/6/99]</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1/12/00, Notice 10/20/99—published 2/9/00, effective 3/15/00]</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9/26/02, Notice 6/12/02—published 10/16/02, effective 11/20/02]</w:t>
      </w:r>
    </w:p>
    <w:p>
      <w:pPr>
        <w:spacing w:before="0" w:after="0"/>
        <w:ind w:left="120"/>
        <w:jc w:val="center"/>
      </w:pPr>
      <w:r>
        <w:rPr>
          <w:rFonts w:ascii="Times New Roman" w:hAnsi="Times New Roman"/>
          <w:b w:val="false"/>
          <w:i w:val="false"/>
          <w:color w:val="000000"/>
          <w:sz w:val="21"/>
        </w:rPr>
        <w:t>[Filed 1/30/03, Notice 12/11/02—published 2/19/03, effective 3/26/03]</w:t>
      </w:r>
    </w:p>
    <w:p>
      <w:pPr>
        <w:spacing w:before="0" w:after="0"/>
        <w:ind w:left="120"/>
        <w:jc w:val="center"/>
      </w:pPr>
      <w:r>
        <w:rPr>
          <w:rFonts w:ascii="Times New Roman" w:hAnsi="Times New Roman"/>
          <w:b w:val="false"/>
          <w:i w:val="false"/>
          <w:color w:val="000000"/>
          <w:sz w:val="21"/>
        </w:rPr>
        <w:t>[Filed 7/21/04, Notice 6/9/04—published 8/18/04, effective 9/22/04]</w:t>
      </w:r>
    </w:p>
    <w:p>
      <w:pPr>
        <w:spacing w:before="0" w:after="0"/>
        <w:ind w:left="120"/>
        <w:jc w:val="center"/>
      </w:pPr>
      <w:r>
        <w:rPr>
          <w:rFonts w:ascii="Times New Roman" w:hAnsi="Times New Roman"/>
          <w:b w:val="false"/>
          <w:i w:val="false"/>
          <w:color w:val="000000"/>
          <w:sz w:val="21"/>
        </w:rPr>
        <w:t>[Filed 9/20/05, Notice 7/6/05—published 10/12/05, effective 11/16/05]</w:t>
      </w:r>
    </w:p>
    <w:p>
      <w:pPr>
        <w:spacing w:before="0" w:after="0"/>
        <w:ind w:left="120"/>
        <w:jc w:val="center"/>
      </w:pPr>
      <w:r>
        <w:rPr>
          <w:rFonts w:ascii="Times New Roman" w:hAnsi="Times New Roman"/>
          <w:b w:val="false"/>
          <w:i w:val="false"/>
          <w:color w:val="000000"/>
          <w:sz w:val="21"/>
        </w:rPr>
        <w:t>[Filed 9/20/05, Notice 8/3/05—published 10/12/05, effective 11/16/05]</w:t>
      </w:r>
    </w:p>
    <w:p>
      <w:pPr>
        <w:spacing w:before="0" w:after="0"/>
        <w:ind w:left="120"/>
        <w:jc w:val="center"/>
      </w:pPr>
      <w:r>
        <w:rPr>
          <w:rFonts w:ascii="Times New Roman" w:hAnsi="Times New Roman"/>
          <w:b w:val="false"/>
          <w:i w:val="false"/>
          <w:color w:val="000000"/>
          <w:sz w:val="21"/>
        </w:rPr>
        <w:t>[Filed 11/22/06, Notice 10/11/06—published 12/20/06, effective 1/24/07]</w:t>
      </w:r>
    </w:p>
    <w:p>
      <w:pPr>
        <w:spacing w:before="0" w:after="0"/>
        <w:ind w:left="120"/>
        <w:jc w:val="center"/>
      </w:pPr>
      <w:r>
        <w:rPr>
          <w:rFonts w:ascii="Times New Roman" w:hAnsi="Times New Roman"/>
          <w:b w:val="false"/>
          <w:i w:val="false"/>
          <w:color w:val="000000"/>
          <w:sz w:val="21"/>
        </w:rPr>
        <w:t>[Filed 7/20/07, Notice 4/25/07—published 8/15/07, effective 9/19/07]</w:t>
      </w:r>
    </w:p>
    <w:p>
      <w:pPr>
        <w:spacing w:before="0" w:after="0"/>
        <w:ind w:left="120"/>
        <w:jc w:val="center"/>
      </w:pPr>
      <w:r>
        <w:rPr>
          <w:rFonts w:ascii="Times New Roman" w:hAnsi="Times New Roman"/>
          <w:b w:val="false"/>
          <w:i w:val="false"/>
          <w:color w:val="000000"/>
          <w:sz w:val="21"/>
        </w:rPr>
        <w:t>[Filed 9/21/07, Notice 8/15/07—published 10/10/07, effective 2/11/08]</w:t>
      </w:r>
    </w:p>
    <w:p>
      <w:pPr>
        <w:spacing w:before="0" w:after="0"/>
        <w:ind w:left="120"/>
        <w:jc w:val="center"/>
      </w:pPr>
      <w:r>
        <w:rPr>
          <w:rFonts w:ascii="Times New Roman" w:hAnsi="Times New Roman"/>
          <w:b w:val="false"/>
          <w:i w:val="false"/>
          <w:color w:val="000000"/>
          <w:sz w:val="21"/>
        </w:rPr>
        <w:t>[Filed ARC 7737B</w:t>
      </w:r>
      <w:r>
        <w:rPr>
          <w:rFonts w:ascii="Times New Roman" w:hAnsi="Times New Roman"/>
          <w:b w:val="false"/>
          <w:i w:val="false"/>
          <w:color w:val="000000"/>
          <w:sz w:val="21"/>
        </w:rPr>
        <w:t xml:space="preserve"> (Notice ARC 7545B,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8638B</w:t>
      </w:r>
      <w:r>
        <w:rPr>
          <w:rFonts w:ascii="Times New Roman" w:hAnsi="Times New Roman"/>
          <w:b w:val="false"/>
          <w:i w:val="false"/>
          <w:color w:val="000000"/>
          <w:sz w:val="21"/>
        </w:rPr>
        <w:t xml:space="preserve"> (Notice ARC 8392B,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1210C</w:t>
      </w:r>
      <w:r>
        <w:rPr>
          <w:rFonts w:ascii="Times New Roman" w:hAnsi="Times New Roman"/>
          <w:b w:val="false"/>
          <w:i w:val="false"/>
          <w:color w:val="000000"/>
          <w:sz w:val="21"/>
        </w:rPr>
        <w:t xml:space="preserve"> (Notice ARC 0978C, IAB 8/21/13)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1504C</w:t>
      </w:r>
      <w:r>
        <w:rPr>
          <w:rFonts w:ascii="Times New Roman" w:hAnsi="Times New Roman"/>
          <w:b w:val="false"/>
          <w:i w:val="false"/>
          <w:color w:val="000000"/>
          <w:sz w:val="21"/>
        </w:rPr>
        <w:t xml:space="preserve"> (Notice ARC 1282C, IAB 1/8/14)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1624C</w:t>
      </w:r>
      <w:r>
        <w:rPr>
          <w:rFonts w:ascii="Times New Roman" w:hAnsi="Times New Roman"/>
          <w:b w:val="false"/>
          <w:i w:val="false"/>
          <w:color w:val="000000"/>
          <w:sz w:val="21"/>
        </w:rPr>
        <w:t xml:space="preserve"> (Notice ARC 1501C,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3332C</w:t>
      </w:r>
      <w:r>
        <w:rPr>
          <w:rFonts w:ascii="Times New Roman" w:hAnsi="Times New Roman"/>
          <w:b w:val="false"/>
          <w:i w:val="false"/>
          <w:color w:val="000000"/>
          <w:sz w:val="21"/>
        </w:rPr>
        <w:t xml:space="preserve"> (Notice ARC 3170C,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7757C</w:t>
      </w:r>
      <w:r>
        <w:rPr>
          <w:rFonts w:ascii="Times New Roman" w:hAnsi="Times New Roman"/>
          <w:b w:val="false"/>
          <w:i w:val="false"/>
          <w:color w:val="000000"/>
          <w:sz w:val="21"/>
        </w:rPr>
        <w:t xml:space="preserve"> (Notice ARC 7436C,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www.ncarb.org" Type="http://schemas.openxmlformats.org/officeDocument/2006/relationships/hyperlink" Id="rId6"/>
    <Relationship TargetMode="External" Target="https://www.legis.iowa.gov/docs/iac/chapter/193.14.pdf" Type="http://schemas.openxmlformats.org/officeDocument/2006/relationships/hyperlink" Id="rId7"/>
    <Relationship TargetMode="External" Target="https://www.legis.iowa.gov/docs/iac/chapter/481.7.pdf" Type="http://schemas.openxmlformats.org/officeDocument/2006/relationships/hyperlink" Id="rId8"/>
    <Relationship TargetMode="External" Target="https://www.legis.iowa.gov/docs/iac/rule/193B.2.2.pdf" Type="http://schemas.openxmlformats.org/officeDocument/2006/relationships/hyperlink" Id="rId9"/>
    <Relationship TargetMode="External" Target="https://www.legis.iowa.gov/docs/iac/rule/193B.2.4.pdf" Type="http://schemas.openxmlformats.org/officeDocument/2006/relationships/hyperlink" Id="rId10"/>
    <Relationship TargetMode="External" Target="https://www.legis.iowa.gov/docs/iac/rule/193.7.40.pdf" Type="http://schemas.openxmlformats.org/officeDocument/2006/relationships/hyperlink" Id="rId11"/>
    <Relationship TargetMode="External" Target="https://www.legis.iowa.gov/docs/iac/chapter/193.7.pdf" Type="http://schemas.openxmlformats.org/officeDocument/2006/relationships/hyperlink" Id="rId12"/>
    <Relationship TargetMode="External" Target="https://www.legis.iowa.gov/docs/iac/rule/193.7.40.pdf" Type="http://schemas.openxmlformats.org/officeDocument/2006/relationships/hyperlink" Id="rId13"/>
    <Relationship TargetMode="External" Target="https://www.legis.iowa.gov/docs/iac/rule/193.7.40.pdf" Type="http://schemas.openxmlformats.org/officeDocument/2006/relationships/hyperlink" Id="rId14"/>
    <Relationship TargetMode="External" Target="https://www.legis.iowa.gov/docs/iac/rule/193B.3.3.pdf" Type="http://schemas.openxmlformats.org/officeDocument/2006/relationships/hyperlink" Id="rId15"/>
    <Relationship TargetMode="External" Target="https://www.legis.iowa.gov/docs/iac/rule/193.7.40.pdf" Type="http://schemas.openxmlformats.org/officeDocument/2006/relationships/hyperlink" Id="rId16"/>
    <Relationship TargetMode="External" Target="https://www.legis.iowa.gov/docs/ico/chapter/544A.15.pdf" Type="http://schemas.openxmlformats.org/officeDocument/2006/relationships/hyperlink" Id="rId17"/>
    <Relationship TargetMode="External" Target="https://www.legis.iowa.gov/docs/ico/chapter/544A.16.pdf" Type="http://schemas.openxmlformats.org/officeDocument/2006/relationships/hyperlink" Id="rId18"/>
    <Relationship TargetMode="External" Target="https://www.legis.iowa.gov/docs/iac/rule/193B.2.5.pdf" Type="http://schemas.openxmlformats.org/officeDocument/2006/relationships/hyperlink" Id="rId19"/>
    <Relationship TargetMode="External" Target="https://www.legis.iowa.gov/docs/iac/rule/193B.2.9.pdf" Type="http://schemas.openxmlformats.org/officeDocument/2006/relationships/hyperlink" Id="rId20"/>
    <Relationship TargetMode="External" Target="https://www.legis.iowa.gov/docs/ico/chapter/544A.15.pdf" Type="http://schemas.openxmlformats.org/officeDocument/2006/relationships/hyperlink" Id="rId21"/>
    <Relationship TargetMode="External" Target="https://www.legis.iowa.gov/docs/ico/chapter/544A.15.pdf" Type="http://schemas.openxmlformats.org/officeDocument/2006/relationships/hyperlink" Id="rId22"/>
    <Relationship TargetMode="External" Target="https://www.legis.iowa.gov/docs/ico/chapter/544A.16.pdf" Type="http://schemas.openxmlformats.org/officeDocument/2006/relationships/hyperlink" Id="rId23"/>
    <Relationship TargetMode="External" Target="https://www.legis.iowa.gov/docs/iac/chapter/193B.3.pdf" Type="http://schemas.openxmlformats.org/officeDocument/2006/relationships/hyperlink" Id="rId24"/>
    <Relationship TargetMode="External" Target="https://www.legis.iowa.gov/docs/iac/chapter/193B.3.pdf" Type="http://schemas.openxmlformats.org/officeDocument/2006/relationships/hyperlink" Id="rId25"/>
    <Relationship TargetMode="External" Target="https://www.legis.iowa.gov/docs/ico/chapter/544A.16.pdf" Type="http://schemas.openxmlformats.org/officeDocument/2006/relationships/hyperlink" Id="rId26"/>
    <Relationship TargetMode="External" Target="https://www.legis.iowa.gov/docs/ico/chapter/544A.16.pdf" Type="http://schemas.openxmlformats.org/officeDocument/2006/relationships/hyperlink" Id="rId27"/>
    <Relationship TargetMode="External" Target="https://www.legis.iowa.gov/docs/ico/chapter/544A.pdf" Type="http://schemas.openxmlformats.org/officeDocument/2006/relationships/hyperlink" Id="rId28"/>
    <Relationship TargetMode="External" Target="https://www.legis.iowa.gov/docs/iac/rule/193.7.39.pdf" Type="http://schemas.openxmlformats.org/officeDocument/2006/relationships/hyperlink" Id="rId29"/>
    <Relationship TargetMode="External" Target="https://www.legis.iowa.gov/docs/ico/chapter/544A.pdf" Type="http://schemas.openxmlformats.org/officeDocument/2006/relationships/hyperlink" Id="rId30"/>
    <Relationship TargetMode="External" Target="https://www.legis.iowa.gov/docs/ico/chapter/544A.pdf" Type="http://schemas.openxmlformats.org/officeDocument/2006/relationships/hyperlink" Id="rId31"/>
    <Relationship TargetMode="External" Target="https://www.legis.iowa.gov/docs/ico/chapter/17A.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