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561—2.1</w:t>
      </w:r>
      <w:r>
        <w:rPr>
          <w:rFonts w:ascii="Times New Roman" w:hAnsi="Times New Roman"/>
          <w:b/>
          <w:i w:val="false"/>
          <w:color w:val="000000"/>
          <w:sz w:val="22"/>
        </w:rPr>
        <w:t xml:space="preserve">(17A,22)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implements Iowa Code section </w:t>
      </w:r>
      <w:hyperlink r:id="rId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agency policies and procedures for the maintenance of records. The purpose of this chapter is to facilitate public access to open records. It also seeks to facilitate sound agency determinations with respect to the handling of confidential records and the implementation of the fair information practices Act. This agency is committed to the policies set forth in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shall cooperate with members of the public in implementing the provisions of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the department of natural resources.</w:t>
      </w:r>
    </w:p>
    <w:p>
      <w:pPr>
        <w:spacing w:before="0" w:after="0"/>
        <w:ind w:left="120"/>
        <w:jc w:val="both"/>
      </w:pPr>
      <w:r>
        <w:rPr>
          <w:rFonts w:ascii="Times New Roman" w:hAnsi="Times New Roman"/>
          <w:b/>
          <w:i w:val="false"/>
          <w:color w:val="000000"/>
          <w:sz w:val="22"/>
        </w:rPr>
        <w:t>561—2.2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department of natural resources, or a person lawfully delegated authority by its director to act for the agency in implementing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in these rules means the whole or a part of a “public record” as defined in Iowa Code section </w:t>
      </w:r>
      <w:hyperlink r:id="rId10">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i w:val="false"/>
          <w:color w:val="000000"/>
          <w:sz w:val="22"/>
        </w:rPr>
        <w:t>561—2.3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custodian or the particular agency office where the record is kept. If the location of the record is not known by the requester, the request shall be directed to the Director, Department of Natural Resources, 502 East Ninth Street, Wallace State Office Building, Des Moines, Iowa 50319-0034. If a request for access to a record is misdirected, agency personnel will promptly forward the request to the appropriate person within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or in person. The office may also accommodate telephone requests where appropriate. Requests shall identify the particular records sought by name or description in order to facilitate the location of the record. Mail or telephone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11">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3">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5">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(17A,22)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agency files. Examination and copying of agency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agency’s office. If photocopy equipment is not available in the agency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To the extent permitted by applicable provisions of law, the payment of fees may be waived in the case of small requests of five or fewer copies, when the imposition of fees is inequitable, or when a waiver is in the public interest. Charges for examination or copies requested in writing by a person in a capacity as representative of another governmental entity or where copies are provided under provisions of a written agency contract may be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Anyone making a request for reproduction of the department’s records will pay for services at the following rates, in addition to postage and handling as determined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Photocopies (direct copies on 8½″ × 11″, 8½″ × 14″, or 11″ × 17″ paper)—40 cents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Paper copy from microfilm records—40 cents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actual reproduction cost will be charged for any blueprint, picture, oral tape or any other work product not subject to photocopying.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Fax—$1 per faxed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Computer stored information. Computer stored information is available according to the fee schedule maintained by the administrative services division of the department. The fee schedule shall be available at the following locations: fifth floor record centers, Wallace State Office Building, and on the department’s Internet Web site, </w:t>
      </w:r>
      <w:hyperlink r:id="rId16">
        <w:r>
          <w:rPr>
            <w:rStyle w:val="Hyperlink"/>
            <w:rFonts w:ascii="Times New Roman" w:hAnsi="Times New Roman"/>
            <w:b w:val="false"/>
            <w:i w:val="false"/>
            <w:color w:val="000000"/>
            <w:sz w:val="22"/>
            <w:u w:val="single"/>
          </w:rPr>
          <w:t>http://www.state.ia.us/dnr/administrative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agency expenses in supervising the examination and copying of requested records when the supervision time required is in excess of one-half hour. The custodian shall prominently post in agency offices the hourly fee to be charged for supervision of records during examination and copying. That hourly fee shall not be in excess of the hourly wage of an agency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If the request requires research or if the record or records cannot reasonably be readily retrieved by the office, the requester will be advised of this fact. Reasonable search fees may be charged where appropriate. In addition, all costs for retrieval and copying of information stored in electronic storage systems may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ind w:left="120"/>
        <w:jc w:val="both"/>
      </w:pPr>
      <w:r>
        <w:rPr>
          <w:rFonts w:ascii="Times New Roman" w:hAnsi="Times New Roman"/>
          <w:b/>
          <w:i w:val="false"/>
          <w:color w:val="000000"/>
          <w:sz w:val="22"/>
        </w:rPr>
        <w:t>561—2.4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8">
        <w:r>
          <w:rPr>
            <w:rStyle w:val="Hyperlink"/>
            <w:rFonts w:ascii="Times New Roman" w:hAnsi="Times New Roman"/>
            <w:b w:val="false"/>
            <w:i w:val="false"/>
            <w:color w:val="000000"/>
            <w:sz w:val="22"/>
          </w:rPr>
          <w:t>2.3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Proof of identity. 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Requests. The custodian may require that a request to examine and copy a confidential record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to subject of record and opportunity to obtain injunction. 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specified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Request denied. 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val="false"/>
          <w:color w:val="000000"/>
          <w:sz w:val="22"/>
        </w:rPr>
        <w:t>Request granted. 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the following information will not be considered confidential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Emission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Analytical results of monitoring or public water supply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any 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NPDES permits, applications (including any information required by NPDES application forms) and effluent data.</w:t>
      </w:r>
    </w:p>
    <w:p>
      <w:pPr>
        <w:spacing w:before="0" w:after="0"/>
        <w:ind w:left="120"/>
        <w:jc w:val="both"/>
      </w:pPr>
      <w:r>
        <w:rPr>
          <w:rFonts w:ascii="Times New Roman" w:hAnsi="Times New Roman"/>
          <w:b/>
          <w:i w:val="false"/>
          <w:color w:val="000000"/>
          <w:sz w:val="22"/>
        </w:rPr>
        <w:t>561—2.5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from which those portions for which such confidential record treatment has been requested have been deleted. If the original record is being submitted to the agency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agency does not request that it be withheld from public inspection under Iowa Code section </w:t>
      </w:r>
      <w:hyperlink r:id="rId22">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24">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w:t>
      </w:r>
      <w:r>
        <w:rPr>
          <w:rFonts w:ascii="Times New Roman" w:hAnsi="Times New Roman"/>
          <w:b w:val="false"/>
          <w:i w:val="false"/>
          <w:color w:val="000000"/>
          <w:sz w:val="22"/>
        </w:rPr>
        <w:t> </w:t>
      </w:r>
      <w:r>
        <w:rPr>
          <w:rFonts w:ascii="Times New Roman" w:hAnsi="Times New Roman"/>
          <w:b w:val="false"/>
          <w:i/>
          <w:color w:val="000000"/>
          <w:sz w:val="22"/>
        </w:rPr>
        <w:t xml:space="preserve">Processing of business confidentiality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Applicability/availability. Businesses which provide information to the department in applications, reports or otherwise in recorded form, or from or about which information is obtained and recorded by the department, may request that information not be disclosed to others for reasons of business confidentiality. Until such time as a request for confidentiality is received by the department, all information not within subrule </w:t>
      </w:r>
      <w:hyperlink r:id="rId25">
        <w:r>
          <w:rPr>
            <w:rStyle w:val="Hyperlink"/>
            <w:rFonts w:ascii="Times New Roman" w:hAnsi="Times New Roman"/>
            <w:b w:val="false"/>
            <w:i w:val="false"/>
            <w:color w:val="000000"/>
            <w:sz w:val="22"/>
          </w:rPr>
          <w:t>2.4(6)</w:t>
        </w:r>
      </w:hyperlink>
      <w:r>
        <w:rPr>
          <w:rFonts w:ascii="Times New Roman" w:hAnsi="Times New Roman"/>
          <w:b w:val="false"/>
          <w:i w:val="false"/>
          <w:color w:val="000000"/>
          <w:sz w:val="22"/>
        </w:rPr>
        <w:t xml:space="preserve"> will be available to the public pursuant to subrule </w:t>
      </w:r>
      <w:hyperlink r:id="rId26">
        <w:r>
          <w:rPr>
            <w:rStyle w:val="Hyperlink"/>
            <w:rFonts w:ascii="Times New Roman" w:hAnsi="Times New Roman"/>
            <w:b w:val="false"/>
            <w:i w:val="false"/>
            <w:color w:val="000000"/>
            <w:sz w:val="22"/>
          </w:rPr>
          <w:t>2.3(3)</w:t>
        </w:r>
      </w:hyperlink>
      <w:r>
        <w:rPr>
          <w:rFonts w:ascii="Times New Roman" w:hAnsi="Times New Roman"/>
          <w:b w:val="false"/>
          <w:i w:val="false"/>
          <w:color w:val="000000"/>
          <w:sz w:val="22"/>
        </w:rPr>
        <w:t>. If a claim is received after the information itself is received, the department will make such efforts as are administratively practicable to associate the claim with all copies of the previously received information. However, the department cannot ensure that such efforts will be effective, in light of the possibility of prior disclosure or dissemination of the information beyond the department’s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Form. A business which submits information to the department may assert a business confidentiality claim in the manner prescribed in the application or instruction, if any, otherwise by placing on or attaching to the information, at the time it is submitted, a cover sheet, stamped or typed legend, or other suitable form of notice employing language such as “trade secret,” “proprietary,” or “company confidential.” When only a portion of the information is claimed to be confidential, only that portion shall be deleted from the application, report or other recorded submission, with appropriate reference to a separate claim for business confidentiality, which separate claim shall be submitted as specified above. If a request not to disclose information is filed with the department, the party shall file together with the document a second copy of the document from which has been deleted the information for which such party wishes to claim confidential treatment. The business shall conspicuously indicate on the face of the original document that it is confidential information and shall file a claim for confidential status in accordance with the provisions of </w:t>
      </w:r>
      <w:hyperlink r:id="rId27">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A business which has reason to believe that the department has received information which the business asserts to be confidential may request that such information, described with reasonable specificity, be maintained as confidential, in the same manner as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Contents of claim. All claims for confidentiality must be substantiated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all measures the business has taken to protect the confidentiality of the information, and a statement of intent to continue to take such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Practices and policies of other businesses, if known, regarding confidentiality of similar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information is not, and has not been, reasonably attainable without the consent of the business by other persons other than government bodies by use of legitimate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demonstrating that disclosure of the information is likely to cause substantial harm to the business’s competitive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reference to any other determinations of confidential status of the information or similar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action by department. All claims will be reviewed within ten days of receipt for completeness and applicability of subrule </w:t>
      </w:r>
      <w:hyperlink r:id="rId28">
        <w:r>
          <w:rPr>
            <w:rStyle w:val="Hyperlink"/>
            <w:rFonts w:ascii="Times New Roman" w:hAnsi="Times New Roman"/>
            <w:b w:val="false"/>
            <w:i w:val="false"/>
            <w:color w:val="000000"/>
            <w:sz w:val="22"/>
          </w:rPr>
          <w:t>2.4(6)</w:t>
        </w:r>
      </w:hyperlink>
      <w:r>
        <w:rPr>
          <w:rFonts w:ascii="Times New Roman" w:hAnsi="Times New Roman"/>
          <w:b w:val="false"/>
          <w:i w:val="false"/>
          <w:color w:val="000000"/>
          <w:sz w:val="22"/>
        </w:rPr>
        <w:t xml:space="preserve">. If the claim does not include the substantiation required by </w:t>
      </w:r>
      <w:hyperlink r:id="rId29">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r>
        <w:rPr>
          <w:rFonts w:ascii="Times New Roman" w:hAnsi="Times New Roman"/>
          <w:b w:val="false"/>
          <w:i w:val="false"/>
          <w:color w:val="000000"/>
          <w:sz w:val="22"/>
        </w:rPr>
        <w:t xml:space="preserve"> or if the claim relates to information within </w:t>
      </w:r>
      <w:hyperlink r:id="rId30">
        <w:r>
          <w:rPr>
            <w:rStyle w:val="Hyperlink"/>
            <w:rFonts w:ascii="Times New Roman" w:hAnsi="Times New Roman"/>
            <w:b w:val="false"/>
            <w:i w:val="false"/>
            <w:color w:val="000000"/>
            <w:sz w:val="22"/>
          </w:rPr>
          <w:t>2.4(6)</w:t>
        </w:r>
      </w:hyperlink>
      <w:r>
        <w:rPr>
          <w:rFonts w:ascii="Times New Roman" w:hAnsi="Times New Roman"/>
          <w:b w:val="false"/>
          <w:i w:val="false"/>
          <w:color w:val="000000"/>
          <w:sz w:val="22"/>
        </w:rPr>
        <w:t xml:space="preserve">, the business making the claim will be so notified by certified mail. If the substantiation or comment regarding the inapplicability of </w:t>
      </w:r>
      <w:hyperlink r:id="rId31">
        <w:r>
          <w:rPr>
            <w:rStyle w:val="Hyperlink"/>
            <w:rFonts w:ascii="Times New Roman" w:hAnsi="Times New Roman"/>
            <w:b w:val="false"/>
            <w:i w:val="false"/>
            <w:color w:val="000000"/>
            <w:sz w:val="22"/>
          </w:rPr>
          <w:t>2.4(6)</w:t>
        </w:r>
      </w:hyperlink>
      <w:r>
        <w:rPr>
          <w:rFonts w:ascii="Times New Roman" w:hAnsi="Times New Roman"/>
          <w:b w:val="false"/>
          <w:i w:val="false"/>
          <w:color w:val="000000"/>
          <w:sz w:val="22"/>
        </w:rPr>
        <w:t xml:space="preserve"> is not received by the department within ten days of the date on the return receipt, the department will place the information in the public file. Otherwise, all information claimed to be confidential will be treated as such by the department until further notice. A timely response from the notice under this paragraph will be ruled on by the department within ten days, based on the applicability of </w:t>
      </w:r>
      <w:hyperlink r:id="rId32">
        <w:r>
          <w:rPr>
            <w:rStyle w:val="Hyperlink"/>
            <w:rFonts w:ascii="Times New Roman" w:hAnsi="Times New Roman"/>
            <w:b w:val="false"/>
            <w:i w:val="false"/>
            <w:color w:val="000000"/>
            <w:sz w:val="22"/>
          </w:rPr>
          <w:t>2.4(6)</w:t>
        </w:r>
      </w:hyperlink>
      <w:r>
        <w:rPr>
          <w:rFonts w:ascii="Times New Roman" w:hAnsi="Times New Roman"/>
          <w:b w:val="false"/>
          <w:i w:val="false"/>
          <w:color w:val="000000"/>
          <w:sz w:val="22"/>
        </w:rPr>
        <w:t xml:space="preserve"> or compliance with </w:t>
      </w:r>
      <w:hyperlink r:id="rId33">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r>
        <w:rPr>
          <w:rFonts w:ascii="Times New Roman" w:hAnsi="Times New Roman"/>
          <w:b w:val="false"/>
          <w:i w:val="false"/>
          <w:color w:val="000000"/>
          <w:sz w:val="22"/>
        </w:rPr>
        <w:t xml:space="preserv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Initiation of official determination. All claims not rejected under </w:t>
      </w:r>
      <w:hyperlink r:id="rId34">
        <w:r>
          <w:rPr>
            <w:rStyle w:val="Hyperlink"/>
            <w:rFonts w:ascii="Times New Roman" w:hAnsi="Times New Roman"/>
            <w:b w:val="false"/>
            <w:i w:val="false"/>
            <w:color w:val="000000"/>
            <w:sz w:val="22"/>
          </w:rPr>
          <w:t>2.5(7)</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receive an official determination when a request for disclosure covering such information is received by the department or when the department deems it advisable to make a determination because a request for disclosure is likely to be received or because of administrative burdens in maintaining the information confidential. The procedures and criteria below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Substantive criteria for use in confidentiality determinations. Determinations shall hold that business information is entitled to confidential treatment for the benefit of a particular person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business has taken and intends to continue to take reasonable measures to protect the confidentiality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information is not readily obtainable by others by legitimate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 is not unreasonable in view of the nature of the information, the interests, and normal practices of the business, and the practices of other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statute or rule specifically requires disclosure of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a substantial likelihood that disclosure of the information would cause substantial harm to the competitive position of the business.</w:t>
      </w:r>
    </w:p>
    <w:p>
      <w:pPr>
        <w:spacing w:before="0" w:after="0"/>
        <w:ind w:left="120"/>
        <w:jc w:val="both"/>
      </w:pPr>
      <w:r>
        <w:rPr>
          <w:rFonts w:ascii="Times New Roman" w:hAnsi="Times New Roman"/>
          <w:b w:val="false"/>
          <w:i w:val="false"/>
          <w:color w:val="000000"/>
          <w:sz w:val="22"/>
        </w:rPr>
        <w:t>Prior determinations by the courts, the department or other agencies on the information or similar information shall be given due consideration and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Preliminary determination—opportunity for comment. The department shall transmit its preliminary determination regarding a claim for business confidentiality to the claimant by certified mail, notifying the claimant of the opportunity to provide comments within ten days subject to reasonable extension upon written request, and that failure to comment will be construed to indicate agreement with the preliminary determination. If the determination is in response to a request for disclosure, the person requesting the disclosure shall be sent a similar notice in the same manner within ten days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Final determination. A final decision shall be issued within ten days after the close of the comment period to the preliminary determination. If any substantial comments are received, the final decision shall be made by the director or designee. If no substantial comments are received, the claimant and the person requesting disclosure, if any, shall be notified that the preliminary determination is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procedures within this rule shall not be considered contested case proceedings as provided in Iowa Code chapter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561—2.6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agency proceeding. Requester shall send the request to review such a record or the written statement of additions, dissents or objections to the custodian or to the attorney general. The request to review a written statement must be dated and signed by requester, and shall include the current address and telephone number of the requester or the requester’s representative.</w:t>
      </w:r>
    </w:p>
    <w:p>
      <w:pPr>
        <w:spacing w:before="210" w:after="0"/>
        <w:ind w:left="120"/>
        <w:jc w:val="both"/>
      </w:pPr>
      <w:r>
        <w:rPr>
          <w:rFonts w:ascii="Times New Roman" w:hAnsi="Times New Roman"/>
          <w:b/>
          <w:i w:val="false"/>
          <w:color w:val="000000"/>
          <w:sz w:val="22"/>
        </w:rPr>
        <w:t>561—2.7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counsel on behalf of a person who is the subject of a confidential record is deemed to constitute consent for the agency to disclose records about that person to the person’s attorney.</w:t>
      </w:r>
    </w:p>
    <w:p>
      <w:pPr>
        <w:spacing w:before="210" w:after="0"/>
        <w:ind w:left="120"/>
        <w:jc w:val="both"/>
      </w:pPr>
      <w:r>
        <w:rPr>
          <w:rFonts w:ascii="Times New Roman" w:hAnsi="Times New Roman"/>
          <w:b/>
          <w:i w:val="false"/>
          <w:color w:val="000000"/>
          <w:sz w:val="22"/>
        </w:rPr>
        <w:t>561—2.8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an agency form requests a person to supply information about that person, the agency shall notify the person of the use that will be made of the information, which persons outside the agency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 Notice need not be given in connection with discovery requests in litigation or administrative proceedings, subpoenas, investigations of possible violations of law or similar demands for information.</w:t>
      </w:r>
    </w:p>
    <w:p>
      <w:pPr>
        <w:spacing w:before="0" w:after="0"/>
        <w:ind w:left="120"/>
        <w:jc w:val="both"/>
      </w:pPr>
      <w:r>
        <w:rPr>
          <w:rFonts w:ascii="Times New Roman" w:hAnsi="Times New Roman"/>
          <w:b/>
          <w:i w:val="false"/>
          <w:color w:val="000000"/>
          <w:sz w:val="22"/>
        </w:rPr>
        <w:t>561—2.9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36">
        <w:r>
          <w:rPr>
            <w:rStyle w:val="Hyperlink"/>
            <w:rFonts w:ascii="Times New Roman" w:hAnsi="Times New Roman"/>
            <w:b w:val="false"/>
            <w:i w:val="false"/>
            <w:color w:val="000000"/>
            <w:sz w:val="22"/>
          </w:rPr>
          <w:t>2.10(17A,22)</w:t>
        </w:r>
      </w:hyperlink>
      <w:r>
        <w:rPr>
          <w:rFonts w:ascii="Times New Roman" w:hAnsi="Times New Roman"/>
          <w:b w:val="false"/>
          <w:i w:val="false"/>
          <w:color w:val="000000"/>
          <w:sz w:val="22"/>
        </w:rPr>
        <w:t xml:space="preserve">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3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561—2.10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3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agency or officer which this office is advising or representing in the matter in question or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561—2.11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39">
        <w:r>
          <w:rPr>
            <w:rStyle w:val="Hyperlink"/>
            <w:rFonts w:ascii="Times New Roman" w:hAnsi="Times New Roman"/>
            <w:b w:val="false"/>
            <w:i w:val="false"/>
            <w:color w:val="000000"/>
            <w:sz w:val="22"/>
          </w:rPr>
          <w:t>2.7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561—2.12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40">
        <w:r>
          <w:rPr>
            <w:rStyle w:val="Hyperlink"/>
            <w:rFonts w:ascii="Times New Roman" w:hAnsi="Times New Roman"/>
            <w:b w:val="false"/>
            <w:i w:val="false"/>
            <w:color w:val="000000"/>
            <w:sz w:val="22"/>
          </w:rPr>
          <w:t>2.6</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4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4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561—2.13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Sealed bids received prior to the time set for public opening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Tax records made available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4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Minutes of closed meetings of a government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44">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45">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 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4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5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51">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(17A,22). If the agency initially determines that it will release such records, the agency may where appropriate notify interested parties and withhold the records from inspection as provided in subrule </w:t>
      </w:r>
      <w:hyperlink r:id="rId52">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5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Records maintained by the department of natural resources, the environmental protection commission and the natural resource commission are in accordance with guidelines as set forth by the state records commission’s file system. An updated index is maintained by the department and is available for public inspection. Records are collected pursuant to authorities contained in Iowa Code chapters </w:t>
      </w:r>
      <w:hyperlink r:id="rId54">
        <w:r>
          <w:rPr>
            <w:rStyle w:val="Hyperlink"/>
            <w:rFonts w:ascii="Times New Roman" w:hAnsi="Times New Roman"/>
            <w:b w:val="false"/>
            <w:i w:val="false"/>
            <w:color w:val="000000"/>
            <w:sz w:val="22"/>
          </w:rPr>
          <w:t>106</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107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109</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109B</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110</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110A</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110B</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111</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111A</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111B</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458A</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460A</w:t>
        </w:r>
      </w:hyperlink>
      <w:r>
        <w:rPr>
          <w:rFonts w:ascii="Times New Roman" w:hAnsi="Times New Roman"/>
          <w:b w:val="false"/>
          <w:i w:val="false"/>
          <w:color w:val="000000"/>
          <w:sz w:val="22"/>
        </w:rPr>
        <w:t xml:space="preserve"> and Iowa Code Title XI, subtitles 1, 2, 3, 4 and 6. Agency records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Department of natural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organization, and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Organization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Planning and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Insurance and bonding.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Departmental emergency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Correspondence and reference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and public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Budgets, accounting and financial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Budget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Office services and facilities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Printing and reproduction.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Motor pool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Facilities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Engineering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Equipment, supplies,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Property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Legislative and legal.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legislative liaison.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Bills, joint resolutions, amendments, messages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Administrative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Attorney general opinions and research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Claims against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Lawsuits filed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28E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Personnel and payroll.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Employee personnel/payroll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Merit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Payroll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Position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Certification and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Scheduling, assignments,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Grievances.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Employee benefits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Employment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Equal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Management improvement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Delegation of authority and signature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Conservation and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Geology.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Surface and groundwater monitoring.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Water and mineral resources databases.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Natural resources GIS library.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Oil/gas exploration and drilling.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Energy conservation.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Building energy management program database.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Technical engineering analysis.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Life cycle cost analysis.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facilities energy use/energy management data.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Energy suppliers list.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Renewable energy facilities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Land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Soil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Forestry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Fish and game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Recreation.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Environmental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Air quality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Water quality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Land quality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Hazardous material planning.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Hazardous waste management.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Underground storage tanks.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Leaking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Environmental—interdisciplinary.</w:t>
      </w:r>
    </w:p>
    <w:p>
      <w:pPr>
        <w:spacing w:before="0" w:after="0"/>
        <w:ind w:left="120"/>
        <w:jc w:val="both"/>
      </w:pPr>
      <w:r>
        <w:rPr>
          <w:rFonts w:ascii="Times New Roman" w:hAnsi="Times New Roman"/>
          <w:b w:val="false"/>
          <w:i w:val="false"/>
          <w:color w:val="000000"/>
          <w:sz w:val="22"/>
        </w:rPr>
        <w:t>Records are stored on paper, microfilm, microfiche, and, in some cases, automated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Natural resource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Tort claims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Numerous licensing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Lifetime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Boat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Docks, mooring, buoys or raft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Snowmobile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Miscellaneous mailing list (magazine,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Fur buyer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Fish and game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Safety certified students (hunter safety, snowmobile safety, boating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Special events applications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Snowmobile accident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Boating accident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Drowning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Timber buyer reports and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Work programs with ISU.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Timber management and forestry.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State park ranger violation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Donations.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Real estate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Encroachments.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Campground host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Law enforcement intelligence network (LEIN) and turn in poachers (TIP).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Park leases and concessions.</w:t>
      </w:r>
    </w:p>
    <w:p>
      <w:pPr>
        <w:spacing w:before="0" w:after="0"/>
        <w:ind w:left="120"/>
        <w:jc w:val="both"/>
      </w:pPr>
      <w:r>
        <w:rPr>
          <w:rFonts w:ascii="Times New Roman" w:hAnsi="Times New Roman"/>
          <w:b w:val="false"/>
          <w:i w:val="false"/>
          <w:color w:val="000000"/>
          <w:sz w:val="22"/>
        </w:rPr>
        <w:t xml:space="preserve">All the above-listed records are collected pursuant to the authority of Iowa Code chapters </w:t>
      </w:r>
      <w:hyperlink r:id="rId68">
        <w:r>
          <w:rPr>
            <w:rStyle w:val="Hyperlink"/>
            <w:rFonts w:ascii="Times New Roman" w:hAnsi="Times New Roman"/>
            <w:b w:val="false"/>
            <w:i w:val="false"/>
            <w:color w:val="000000"/>
            <w:sz w:val="22"/>
          </w:rPr>
          <w:t>106</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107</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109</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109B</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110</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110A</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110B</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111</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111A</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111B</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350</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456A</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464A</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465C</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Records are stored on paper, microfilm, microfiche, and, in some cases, automated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Energy bureau.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Payroll and personnel information system. </w:t>
      </w:r>
      <w:r>
        <w:rPr>
          <w:rFonts w:ascii="Times New Roman" w:hAnsi="Times New Roman"/>
          <w:b w:val="false"/>
          <w:i w:val="false"/>
          <w:color w:val="000000"/>
          <w:sz w:val="22"/>
        </w:rPr>
        <w:t>Grants programs. See professional service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Building energy maintenance program. </w:t>
      </w:r>
      <w:r>
        <w:rPr>
          <w:rFonts w:ascii="Times New Roman" w:hAnsi="Times New Roman"/>
          <w:b w:val="false"/>
          <w:i w:val="false"/>
          <w:color w:val="000000"/>
          <w:sz w:val="22"/>
        </w:rPr>
        <w:t xml:space="preserve">All of the above-listed records are collected pursuant to the authority of Iowa Code chapter </w:t>
      </w:r>
      <w:hyperlink r:id="rId90">
        <w:r>
          <w:rPr>
            <w:rStyle w:val="Hyperlink"/>
            <w:rFonts w:ascii="Times New Roman" w:hAnsi="Times New Roman"/>
            <w:b w:val="false"/>
            <w:i w:val="false"/>
            <w:color w:val="000000"/>
            <w:sz w:val="22"/>
          </w:rPr>
          <w:t>473</w:t>
        </w:r>
      </w:hyperlink>
      <w:r>
        <w:rPr>
          <w:rFonts w:ascii="Times New Roman" w:hAnsi="Times New Roman"/>
          <w:b w:val="false"/>
          <w:i w:val="false"/>
          <w:color w:val="000000"/>
          <w:sz w:val="22"/>
        </w:rPr>
        <w:t>. All are stored in paper form with those noted by an asterisk also stored in electronic form. None of the information can be matched, collated or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Geological survey bureau (Iowa 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and scientific employees—employment status information system. Publication mailing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Geological core and cutting samplings.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Abandoned mine lands inventory. Geological data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Municipal water supply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National coal resources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Sedimentology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Water resources information.</w:t>
      </w:r>
    </w:p>
    <w:p>
      <w:pPr>
        <w:spacing w:before="0" w:after="0"/>
        <w:ind w:left="120"/>
        <w:jc w:val="both"/>
      </w:pPr>
      <w:r>
        <w:rPr>
          <w:rFonts w:ascii="Times New Roman" w:hAnsi="Times New Roman"/>
          <w:b w:val="false"/>
          <w:i w:val="false"/>
          <w:color w:val="000000"/>
          <w:sz w:val="22"/>
        </w:rPr>
        <w:t xml:space="preserve">All of the above-listed records are collected pursuant to the authority of Iowa Code chapters </w:t>
      </w:r>
      <w:hyperlink r:id="rId91">
        <w:r>
          <w:rPr>
            <w:rStyle w:val="Hyperlink"/>
            <w:rFonts w:ascii="Times New Roman" w:hAnsi="Times New Roman"/>
            <w:b w:val="false"/>
            <w:i w:val="false"/>
            <w:color w:val="000000"/>
            <w:sz w:val="22"/>
          </w:rPr>
          <w:t>458A</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460A</w:t>
        </w:r>
      </w:hyperlink>
      <w:r>
        <w:rPr>
          <w:rFonts w:ascii="Times New Roman" w:hAnsi="Times New Roman"/>
          <w:b w:val="false"/>
          <w:i w:val="false"/>
          <w:color w:val="000000"/>
          <w:sz w:val="22"/>
        </w:rPr>
        <w:t>. All are stored in electronic form. Supplementary records in these categories are stored in paper form or on microfilm or microfiche. Information cannot be matched, collated or compared.</w:t>
      </w:r>
    </w:p>
    <w:p>
      <w:pPr>
        <w:spacing w:before="0" w:after="0"/>
        <w:ind w:left="120"/>
        <w:jc w:val="both"/>
      </w:pPr>
      <w:r>
        <w:rPr>
          <w:rFonts w:ascii="Times New Roman" w:hAnsi="Times New Roman"/>
          <w:b/>
          <w:i w:val="false"/>
          <w:color w:val="000000"/>
          <w:sz w:val="22"/>
        </w:rPr>
        <w:t>561—2.15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9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(17A,22). These records are routinely available to the public. However, the agencies’ files of these records may contain confidential information. In addition, some records may contain information about individuals. Records are stored on paper, microfilm, microfiche, and, in some cases, automated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 xml:space="preserve">Rule making. Rule-making records may contain information about individuals making written or oral comments on proposed rules. This information is collected pursuant to Iowa Code section </w:t>
      </w:r>
      <w:hyperlink r:id="rId9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 xml:space="preserve">Commission records. Agendas, minutes and materials presented to the environmental protection commission and the natural resource commission are available from the office of the director, except these records concerning closed sessions which are confidential under Iowa Code section </w:t>
      </w:r>
      <w:hyperlink r:id="rId95">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Commission records contain information about people who participate in meetings. This information is collected pursuant to Iowa Code section </w:t>
      </w:r>
      <w:hyperlink r:id="rId96">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Iowa Conservationist, project reports, agency newsletters, etc., are available from the department offices for public information. Brochures describing various department programs are available at local offices of the department. Department news releases, project reports, the Conservationist, and newsletters may contain information about individuals, including department staff or members of the commission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for various department programs are available from the department offices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val="false"/>
          <w:color w:val="000000"/>
          <w:sz w:val="22"/>
        </w:rPr>
        <w:t>Grants or loans. Records on persons and institutions receiving grants or loans are available through the institutions, also for public information. The records may contain information about employees of a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 employees’ manual, containing the policies and procedures for programs administered by the department, is available in every office of the department.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 The department maintains a variety of records which do not generally contain information pertaining to named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2.15(9)</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7">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1/9/87, Notice 11/5/86—published 1/28/87, effective 3/4/87]</w:t>
      </w:r>
    </w:p>
    <w:p>
      <w:pPr>
        <w:spacing w:before="0" w:after="0"/>
        <w:ind w:left="120"/>
        <w:jc w:val="center"/>
      </w:pPr>
      <w:r>
        <w:rPr>
          <w:rFonts w:ascii="Times New Roman" w:hAnsi="Times New Roman"/>
          <w:b w:val="false"/>
          <w:i w:val="false"/>
          <w:color w:val="000000"/>
          <w:sz w:val="21"/>
        </w:rPr>
        <w:t>[Filed emergency 8/17/88 after Notice 7/13/88—published 9/7/88, effective 8/17/88]</w:t>
      </w:r>
    </w:p>
    <w:p>
      <w:pPr>
        <w:spacing w:before="0" w:after="0"/>
        <w:ind w:left="120"/>
        <w:jc w:val="center"/>
      </w:pPr>
      <w:r>
        <w:rPr>
          <w:rFonts w:ascii="Times New Roman" w:hAnsi="Times New Roman"/>
          <w:b w:val="false"/>
          <w:i w:val="false"/>
          <w:color w:val="000000"/>
          <w:sz w:val="21"/>
        </w:rPr>
        <w:t>[Filed 3/14/01, Notice 1/10/01—published 4/4/01, effective 5/9/01]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11.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2.1.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co/chapter/22.10.pdf" Type="http://schemas.openxmlformats.org/officeDocument/2006/relationships/hyperlink" Id="rId12"/>
    <Relationship TargetMode="External" Target="https://www.legis.iowa.gov/docs/ico/chapter/22.8.pdf" Type="http://schemas.openxmlformats.org/officeDocument/2006/relationships/hyperlink" Id="rId13"/>
    <Relationship TargetMode="External" Target="https://www.legis.iowa.gov/docs/ico/chapter/22.10.pdf" Type="http://schemas.openxmlformats.org/officeDocument/2006/relationships/hyperlink" Id="rId14"/>
    <Relationship TargetMode="External" Target="https://www.legis.iowa.gov/docs/iac/rule/561.2.4.pdf" Type="http://schemas.openxmlformats.org/officeDocument/2006/relationships/hyperlink" Id="rId15"/>
    <Relationship TargetMode="External" Target="http://www.state.ia.us/dnr/administrative"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ac/rule/561.2.3.pdf" Type="http://schemas.openxmlformats.org/officeDocument/2006/relationships/hyperlink" Id="rId18"/>
    <Relationship TargetMode="External" Target="https://www.legis.iowa.gov/docs/ico/chapter/22.8.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22.8.pdf" Type="http://schemas.openxmlformats.org/officeDocument/2006/relationships/hyperlink" Id="rId24"/>
    <Relationship TargetMode="External" Target="https://www.legis.iowa.gov/docs/iac/rule/561.2.4.pdf" Type="http://schemas.openxmlformats.org/officeDocument/2006/relationships/hyperlink" Id="rId25"/>
    <Relationship TargetMode="External" Target="https://www.legis.iowa.gov/docs/iac/rule/561.2.3.pdf" Type="http://schemas.openxmlformats.org/officeDocument/2006/relationships/hyperlink" Id="rId26"/>
    <Relationship TargetMode="External" Target="https://www.legis.iowa.gov/docs/iac/rule/561.2.5.pdf" Type="http://schemas.openxmlformats.org/officeDocument/2006/relationships/hyperlink" Id="rId27"/>
    <Relationship TargetMode="External" Target="https://www.legis.iowa.gov/docs/iac/rule/561.2.4.pdf" Type="http://schemas.openxmlformats.org/officeDocument/2006/relationships/hyperlink" Id="rId28"/>
    <Relationship TargetMode="External" Target="https://www.legis.iowa.gov/docs/iac/rule/561.2.5.pdf" Type="http://schemas.openxmlformats.org/officeDocument/2006/relationships/hyperlink" Id="rId29"/>
    <Relationship TargetMode="External" Target="https://www.legis.iowa.gov/docs/iac/rule/561.2.4.pdf" Type="http://schemas.openxmlformats.org/officeDocument/2006/relationships/hyperlink" Id="rId30"/>
    <Relationship TargetMode="External" Target="https://www.legis.iowa.gov/docs/iac/rule/561.2.4.pdf" Type="http://schemas.openxmlformats.org/officeDocument/2006/relationships/hyperlink" Id="rId31"/>
    <Relationship TargetMode="External" Target="https://www.legis.iowa.gov/docs/iac/rule/561.2.4.pdf" Type="http://schemas.openxmlformats.org/officeDocument/2006/relationships/hyperlink" Id="rId32"/>
    <Relationship TargetMode="External" Target="https://www.legis.iowa.gov/docs/iac/rule/561.2.5.pdf" Type="http://schemas.openxmlformats.org/officeDocument/2006/relationships/hyperlink" Id="rId33"/>
    <Relationship TargetMode="External" Target="https://www.legis.iowa.gov/docs/iac/rule/561.2.5.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ac/rule/561.2.10.pdf" Type="http://schemas.openxmlformats.org/officeDocument/2006/relationships/hyperlink" Id="rId36"/>
    <Relationship TargetMode="External" Target="https://www.legis.iowa.gov/docs/ico/chapter/2A.3.pdf" Type="http://schemas.openxmlformats.org/officeDocument/2006/relationships/hyperlink" Id="rId37"/>
    <Relationship TargetMode="External" Target="https://www.legis.iowa.gov/docs/ico/chapter/22.pdf" Type="http://schemas.openxmlformats.org/officeDocument/2006/relationships/hyperlink" Id="rId38"/>
    <Relationship TargetMode="External" Target="https://www.legis.iowa.gov/docs/iac/rule/561.2.7.pdf" Type="http://schemas.openxmlformats.org/officeDocument/2006/relationships/hyperlink" Id="rId39"/>
    <Relationship TargetMode="External" Target="https://www.legis.iowa.gov/docs/iac/rule/561.2.6.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co/chapter/17A.3.pdf" Type="http://schemas.openxmlformats.org/officeDocument/2006/relationships/hyperlink" Id="rId44"/>
    <Relationship TargetMode="External" Target="https://www.legis.iowa.gov/docs/ico/chapter/22.7.pdf" Type="http://schemas.openxmlformats.org/officeDocument/2006/relationships/hyperlink" Id="rId45"/>
    <Relationship TargetMode="External" Target="https://www.legis.iowa.gov/docs/ico/chapter/622.10.pdf" Type="http://schemas.openxmlformats.org/officeDocument/2006/relationships/hyperlink" Id="rId46"/>
    <Relationship TargetMode="External" Target="https://www.legis.iowa.gov/docs/ico/chapter/622.11.pdf" Type="http://schemas.openxmlformats.org/officeDocument/2006/relationships/hyperlink" Id="rId47"/>
    <Relationship TargetMode="External" Target="https://www.legis.iowa.gov/docs/ico/chapter/622.10.pdf" Type="http://schemas.openxmlformats.org/officeDocument/2006/relationships/hyperlink" Id="rId48"/>
    <Relationship TargetMode="External" Target="https://www.legis.iowa.gov/docs/ico/chapter/622.11.pdf" Type="http://schemas.openxmlformats.org/officeDocument/2006/relationships/hyperlink" Id="rId49"/>
    <Relationship TargetMode="External" Target="https://www.legis.iowa.gov/docs/ico/chapter/22.7.pdf" Type="http://schemas.openxmlformats.org/officeDocument/2006/relationships/hyperlink" Id="rId50"/>
    <Relationship TargetMode="External" Target="https://www.legis.iowa.gov/docs/iac/rule/561.2.4.pdf" Type="http://schemas.openxmlformats.org/officeDocument/2006/relationships/hyperlink" Id="rId51"/>
    <Relationship TargetMode="External" Target="https://www.legis.iowa.gov/docs/iac/rule/561.2.4.pdf" Type="http://schemas.openxmlformats.org/officeDocument/2006/relationships/hyperlink" Id="rId52"/>
    <Relationship TargetMode="External" Target="https://www.legis.iowa.gov/docs/iac/rule/561.2.2.pdf" Type="http://schemas.openxmlformats.org/officeDocument/2006/relationships/hyperlink" Id="rId53"/>
    <Relationship TargetMode="External" Target="https://www.legis.iowa.gov/docs/ico/chapter/106.pdf" Type="http://schemas.openxmlformats.org/officeDocument/2006/relationships/hyperlink" Id="rId54"/>
    <Relationship TargetMode="External" Target="https://www.legis.iowa.gov/docs/ico/chapter/107.pdf" Type="http://schemas.openxmlformats.org/officeDocument/2006/relationships/hyperlink" Id="rId55"/>
    <Relationship TargetMode="External" Target="https://www.legis.iowa.gov/docs/ico/chapter/109.pdf" Type="http://schemas.openxmlformats.org/officeDocument/2006/relationships/hyperlink" Id="rId56"/>
    <Relationship TargetMode="External" Target="https://www.legis.iowa.gov/docs/ico/chapter/109B.pdf" Type="http://schemas.openxmlformats.org/officeDocument/2006/relationships/hyperlink" Id="rId57"/>
    <Relationship TargetMode="External" Target="https://www.legis.iowa.gov/docs/ico/chapter/110.pdf" Type="http://schemas.openxmlformats.org/officeDocument/2006/relationships/hyperlink" Id="rId58"/>
    <Relationship TargetMode="External" Target="https://www.legis.iowa.gov/docs/ico/chapter/110A.pdf" Type="http://schemas.openxmlformats.org/officeDocument/2006/relationships/hyperlink" Id="rId59"/>
    <Relationship TargetMode="External" Target="https://www.legis.iowa.gov/docs/ico/chapter/110B.pdf" Type="http://schemas.openxmlformats.org/officeDocument/2006/relationships/hyperlink" Id="rId60"/>
    <Relationship TargetMode="External" Target="https://www.legis.iowa.gov/docs/ico/chapter/111.pdf" Type="http://schemas.openxmlformats.org/officeDocument/2006/relationships/hyperlink" Id="rId61"/>
    <Relationship TargetMode="External" Target="https://www.legis.iowa.gov/docs/ico/chapter/111A.pdf" Type="http://schemas.openxmlformats.org/officeDocument/2006/relationships/hyperlink" Id="rId62"/>
    <Relationship TargetMode="External" Target="https://www.legis.iowa.gov/docs/ico/chapter/111B.pdf" Type="http://schemas.openxmlformats.org/officeDocument/2006/relationships/hyperlink" Id="rId63"/>
    <Relationship TargetMode="External" Target="https://www.legis.iowa.gov/docs/ico/chapter/112.pdf" Type="http://schemas.openxmlformats.org/officeDocument/2006/relationships/hyperlink" Id="rId64"/>
    <Relationship TargetMode="External" Target="https://www.legis.iowa.gov/docs/ico/chapter/321G.pdf" Type="http://schemas.openxmlformats.org/officeDocument/2006/relationships/hyperlink" Id="rId65"/>
    <Relationship TargetMode="External" Target="https://www.legis.iowa.gov/docs/ico/chapter/458A.pdf" Type="http://schemas.openxmlformats.org/officeDocument/2006/relationships/hyperlink" Id="rId66"/>
    <Relationship TargetMode="External" Target="https://www.legis.iowa.gov/docs/ico/chapter/460A.pdf" Type="http://schemas.openxmlformats.org/officeDocument/2006/relationships/hyperlink" Id="rId67"/>
    <Relationship TargetMode="External" Target="https://www.legis.iowa.gov/docs/ico/chapter/106.pdf" Type="http://schemas.openxmlformats.org/officeDocument/2006/relationships/hyperlink" Id="rId68"/>
    <Relationship TargetMode="External" Target="https://www.legis.iowa.gov/docs/ico/chapter/107.pdf" Type="http://schemas.openxmlformats.org/officeDocument/2006/relationships/hyperlink" Id="rId69"/>
    <Relationship TargetMode="External" Target="https://www.legis.iowa.gov/docs/ico/chapter/109.pdf" Type="http://schemas.openxmlformats.org/officeDocument/2006/relationships/hyperlink" Id="rId70"/>
    <Relationship TargetMode="External" Target="https://www.legis.iowa.gov/docs/ico/chapter/109B.pdf" Type="http://schemas.openxmlformats.org/officeDocument/2006/relationships/hyperlink" Id="rId71"/>
    <Relationship TargetMode="External" Target="https://www.legis.iowa.gov/docs/ico/chapter/110.pdf" Type="http://schemas.openxmlformats.org/officeDocument/2006/relationships/hyperlink" Id="rId72"/>
    <Relationship TargetMode="External" Target="https://www.legis.iowa.gov/docs/ico/chapter/110A.pdf" Type="http://schemas.openxmlformats.org/officeDocument/2006/relationships/hyperlink" Id="rId73"/>
    <Relationship TargetMode="External" Target="https://www.legis.iowa.gov/docs/ico/chapter/110B.pdf" Type="http://schemas.openxmlformats.org/officeDocument/2006/relationships/hyperlink" Id="rId74"/>
    <Relationship TargetMode="External" Target="https://www.legis.iowa.gov/docs/ico/chapter/111.pdf" Type="http://schemas.openxmlformats.org/officeDocument/2006/relationships/hyperlink" Id="rId75"/>
    <Relationship TargetMode="External" Target="https://www.legis.iowa.gov/docs/ico/chapter/111A.pdf" Type="http://schemas.openxmlformats.org/officeDocument/2006/relationships/hyperlink" Id="rId76"/>
    <Relationship TargetMode="External" Target="https://www.legis.iowa.gov/docs/ico/chapter/111B.pdf" Type="http://schemas.openxmlformats.org/officeDocument/2006/relationships/hyperlink" Id="rId77"/>
    <Relationship TargetMode="External" Target="https://www.legis.iowa.gov/docs/ico/chapter/112.pdf" Type="http://schemas.openxmlformats.org/officeDocument/2006/relationships/hyperlink" Id="rId78"/>
    <Relationship TargetMode="External" Target="https://www.legis.iowa.gov/docs/ico/chapter/321G.pdf" Type="http://schemas.openxmlformats.org/officeDocument/2006/relationships/hyperlink" Id="rId79"/>
    <Relationship TargetMode="External" Target="https://www.legis.iowa.gov/docs/ico/chapter/350.pdf" Type="http://schemas.openxmlformats.org/officeDocument/2006/relationships/hyperlink" Id="rId80"/>
    <Relationship TargetMode="External" Target="https://www.legis.iowa.gov/docs/ico/chapter/456A.pdf" Type="http://schemas.openxmlformats.org/officeDocument/2006/relationships/hyperlink" Id="rId81"/>
    <Relationship TargetMode="External" Target="https://www.legis.iowa.gov/docs/ico/chapter/461A.pdf" Type="http://schemas.openxmlformats.org/officeDocument/2006/relationships/hyperlink" Id="rId82"/>
    <Relationship TargetMode="External" Target="https://www.legis.iowa.gov/docs/ico/chapter/462A.pdf" Type="http://schemas.openxmlformats.org/officeDocument/2006/relationships/hyperlink" Id="rId83"/>
    <Relationship TargetMode="External" Target="https://www.legis.iowa.gov/docs/ico/chapter/464A.pdf" Type="http://schemas.openxmlformats.org/officeDocument/2006/relationships/hyperlink" Id="rId84"/>
    <Relationship TargetMode="External" Target="https://www.legis.iowa.gov/docs/ico/chapter/465C.pdf" Type="http://schemas.openxmlformats.org/officeDocument/2006/relationships/hyperlink" Id="rId85"/>
    <Relationship TargetMode="External" Target="https://www.legis.iowa.gov/docs/ico/chapter/481A.pdf" Type="http://schemas.openxmlformats.org/officeDocument/2006/relationships/hyperlink" Id="rId86"/>
    <Relationship TargetMode="External" Target="https://www.legis.iowa.gov/docs/ico/chapter/482.pdf" Type="http://schemas.openxmlformats.org/officeDocument/2006/relationships/hyperlink" Id="rId87"/>
    <Relationship TargetMode="External" Target="https://www.legis.iowa.gov/docs/ico/chapter/483A.pdf" Type="http://schemas.openxmlformats.org/officeDocument/2006/relationships/hyperlink" Id="rId88"/>
    <Relationship TargetMode="External" Target="https://www.legis.iowa.gov/docs/ico/chapter/484A.pdf" Type="http://schemas.openxmlformats.org/officeDocument/2006/relationships/hyperlink" Id="rId89"/>
    <Relationship TargetMode="External" Target="https://www.legis.iowa.gov/docs/ico/chapter/473.pdf" Type="http://schemas.openxmlformats.org/officeDocument/2006/relationships/hyperlink" Id="rId90"/>
    <Relationship TargetMode="External" Target="https://www.legis.iowa.gov/docs/ico/chapter/458A.pdf" Type="http://schemas.openxmlformats.org/officeDocument/2006/relationships/hyperlink" Id="rId91"/>
    <Relationship TargetMode="External" Target="https://www.legis.iowa.gov/docs/ico/chapter/460A.pdf" Type="http://schemas.openxmlformats.org/officeDocument/2006/relationships/hyperlink" Id="rId92"/>
    <Relationship TargetMode="External" Target="https://www.legis.iowa.gov/docs/iac/rule/561.2.2.pdf" Type="http://schemas.openxmlformats.org/officeDocument/2006/relationships/hyperlink" Id="rId93"/>
    <Relationship TargetMode="External" Target="https://www.legis.iowa.gov/docs/ico/chapter/17A.4.pdf" Type="http://schemas.openxmlformats.org/officeDocument/2006/relationships/hyperlink" Id="rId94"/>
    <Relationship TargetMode="External" Target="https://www.legis.iowa.gov/docs/ico/chapter/21.5.pdf" Type="http://schemas.openxmlformats.org/officeDocument/2006/relationships/hyperlink" Id="rId95"/>
    <Relationship TargetMode="External" Target="https://www.legis.iowa.gov/docs/ico/chapter/21.3.pdf" Type="http://schemas.openxmlformats.org/officeDocument/2006/relationships/hyperlink" Id="rId96"/>
    <Relationship TargetMode="External" Target="https://www.legis.iowa.gov/docs/ico/chapter/22.11.pdf" Type="http://schemas.openxmlformats.org/officeDocument/2006/relationships/hyperlink" Id="rId9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