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561—10.1</w:t>
      </w:r>
      <w:r>
        <w:rPr>
          <w:rFonts w:ascii="Times New Roman" w:hAnsi="Times New Roman"/>
          <w:b/>
          <w:i w:val="false"/>
          <w:color w:val="000000"/>
          <w:sz w:val="22"/>
        </w:rPr>
        <w:t xml:space="preserve">(17A,455A)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department. As used in this chapter, the term “director” includes the director’s designee. As used in this chapter, “waiver ” means an action by the department which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561—10.2</w:t>
      </w:r>
      <w:r>
        <w:rPr>
          <w:rFonts w:ascii="Times New Roman" w:hAnsi="Times New Roman"/>
          <w:b/>
          <w:i w:val="false"/>
          <w:color w:val="000000"/>
          <w:sz w:val="22"/>
        </w:rPr>
        <w:t xml:space="preserve">(17A,455A) </w:t>
      </w:r>
      <w:r>
        <w:rPr>
          <w:rFonts w:ascii="Times New Roman" w:hAnsi="Times New Roman"/>
          <w:b/>
          <w:i w:val="false"/>
          <w:color w:val="000000"/>
          <w:sz w:val="22"/>
        </w:rPr>
        <w:t xml:space="preserve">Authority. </w:t>
      </w:r>
      <w:r>
        <w:rPr>
          <w:rFonts w:ascii="Times New Roman" w:hAnsi="Times New Roman"/>
          <w:b w:val="false"/>
          <w:i w:val="false"/>
          <w:color w:val="000000"/>
          <w:sz w:val="22"/>
        </w:rPr>
        <w:t>A waiver from rules adopted by the department may be granted in accordance with this chapter if: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The department has exclusive rule-making authority to promulgate the rule from which waiver is requested or has final decision-making authority over a contested case in which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The waiver is consistent with any applicable statute, constitutional provision, or other provision of law. In addition, this subrule does not authorize the department to waive any requirement created or duty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561—10.3</w:t>
      </w:r>
      <w:r>
        <w:rPr>
          <w:rFonts w:ascii="Times New Roman" w:hAnsi="Times New Roman"/>
          <w:b/>
          <w:i w:val="false"/>
          <w:color w:val="000000"/>
          <w:sz w:val="22"/>
        </w:rPr>
        <w:t xml:space="preserve">(17A,455A) </w:t>
      </w:r>
      <w:r>
        <w:rPr>
          <w:rFonts w:ascii="Times New Roman" w:hAnsi="Times New Roman"/>
          <w:b/>
          <w:i w:val="false"/>
          <w:color w:val="000000"/>
          <w:sz w:val="22"/>
        </w:rPr>
        <w:t xml:space="preserve">Interpretive rules. </w:t>
      </w:r>
      <w:r>
        <w:rPr>
          <w:rFonts w:ascii="Times New Roman" w:hAnsi="Times New Roman"/>
          <w:b w:val="false"/>
          <w:i w:val="false"/>
          <w:color w:val="000000"/>
          <w:sz w:val="22"/>
        </w:rPr>
        <w:t xml:space="preserve">The principles of statutory construction contained in Iowa Code chapter </w:t>
      </w:r>
      <w:hyperlink r:id="rId5">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“Construction of Statutes,” shall be used when determining whether these rules apply to a specific rule.</w:t>
      </w:r>
    </w:p>
    <w:p>
      <w:pPr>
        <w:spacing w:before="0" w:after="0"/>
        <w:ind w:left="120"/>
        <w:jc w:val="both"/>
      </w:pPr>
      <w:r>
        <w:rPr>
          <w:rFonts w:ascii="Times New Roman" w:hAnsi="Times New Roman"/>
          <w:b/>
          <w:i w:val="false"/>
          <w:color w:val="000000"/>
          <w:sz w:val="22"/>
        </w:rPr>
        <w:t>561—10.4</w:t>
      </w:r>
      <w:r>
        <w:rPr>
          <w:rFonts w:ascii="Times New Roman" w:hAnsi="Times New Roman"/>
          <w:b/>
          <w:i w:val="false"/>
          <w:color w:val="000000"/>
          <w:sz w:val="22"/>
        </w:rPr>
        <w:t xml:space="preserve">(17A,455A)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Upon petition of any person and at the sole discretion of the department, the department may issue a waiver from the requirements of a rule if the director or the department in a contested case proceeding finds, based on clear and convincing evidence,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a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The provisions of a rule subject to a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561—10.5</w:t>
      </w:r>
      <w:r>
        <w:rPr>
          <w:rFonts w:ascii="Times New Roman" w:hAnsi="Times New Roman"/>
          <w:b/>
          <w:i w:val="false"/>
          <w:color w:val="000000"/>
          <w:sz w:val="22"/>
        </w:rPr>
        <w:t xml:space="preserve">(17A,455A) </w:t>
      </w:r>
      <w:r>
        <w:rPr>
          <w:rFonts w:ascii="Times New Roman" w:hAnsi="Times New Roman"/>
          <w:b/>
          <w:i w:val="false"/>
          <w:color w:val="000000"/>
          <w:sz w:val="22"/>
        </w:rPr>
        <w:t xml:space="preserve">Burden of persuasion. </w:t>
      </w:r>
      <w:r>
        <w:rPr>
          <w:rFonts w:ascii="Times New Roman" w:hAnsi="Times New Roman"/>
          <w:b w:val="false"/>
          <w:i w:val="false"/>
          <w:color w:val="000000"/>
          <w:sz w:val="22"/>
        </w:rPr>
        <w:t xml:space="preserve">The burden of persuasion rests with the person who petitions the department for the waiver of a rule. Each petition for a waiver shall be evaluated by the department based on the unique, individual circumstances set out in the petition. A waiver, if granted, shall be drafted by the department so as to provide the narrowest exception possible to the provisions of the rule. The department may place any condition on a waiver that the department finds desirable to protect the public health, safety, and welfare. A waiver shall not be permanent unless the petitioner can show that a temporary waiver would be impracticable, and, in any event, shall not exceed one year in accordance with the provisions of Iowa Code section </w:t>
      </w:r>
      <w:hyperlink r:id="rId6">
        <w:r>
          <w:rPr>
            <w:rStyle w:val="Hyperlink"/>
            <w:rFonts w:ascii="Times New Roman" w:hAnsi="Times New Roman"/>
            <w:b w:val="false"/>
            <w:i w:val="false"/>
            <w:color w:val="000000"/>
            <w:sz w:val="22"/>
          </w:rPr>
          <w:t>455B.143</w:t>
        </w:r>
      </w:hyperlink>
      <w:r>
        <w:rPr>
          <w:rFonts w:ascii="Times New Roman" w:hAnsi="Times New Roman"/>
          <w:b w:val="false"/>
          <w:i w:val="false"/>
          <w:color w:val="000000"/>
          <w:sz w:val="22"/>
        </w:rPr>
        <w:t xml:space="preserve">. If a temporary waiver is granted, there is no automatic right to renewal. At the sole discretion of the department, a waiver may be renewed if the department finds all of the factors set out in </w:t>
      </w:r>
      <w:hyperlink r:id="rId7">
        <w:r>
          <w:rPr>
            <w:rStyle w:val="Hyperlink"/>
            <w:rFonts w:ascii="Times New Roman" w:hAnsi="Times New Roman"/>
            <w:b w:val="false"/>
            <w:i w:val="false"/>
            <w:color w:val="000000"/>
            <w:sz w:val="22"/>
          </w:rPr>
          <w:t>rule 561—10.4(17A,455A)</w:t>
        </w:r>
      </w:hyperlink>
      <w:r>
        <w:rPr>
          <w:rFonts w:ascii="Times New Roman" w:hAnsi="Times New Roman"/>
          <w:b w:val="false"/>
          <w:i w:val="false"/>
          <w:color w:val="000000"/>
          <w:sz w:val="22"/>
        </w:rPr>
        <w:t xml:space="preserve"> remain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561—10.6</w:t>
      </w:r>
      <w:r>
        <w:rPr>
          <w:rFonts w:ascii="Times New Roman" w:hAnsi="Times New Roman"/>
          <w:b/>
          <w:i w:val="false"/>
          <w:color w:val="000000"/>
          <w:sz w:val="22"/>
        </w:rPr>
        <w:t xml:space="preserve">(17A,455A) </w:t>
      </w:r>
      <w:r>
        <w:rPr>
          <w:rFonts w:ascii="Times New Roman" w:hAnsi="Times New Roman"/>
          <w:b/>
          <w:i w:val="false"/>
          <w:color w:val="000000"/>
          <w:sz w:val="22"/>
        </w:rPr>
        <w:t xml:space="preserve">Special waiver rules not precluded. </w:t>
      </w:r>
      <w:r>
        <w:rPr>
          <w:rFonts w:ascii="Times New Roman" w:hAnsi="Times New Roman"/>
          <w:b w:val="false"/>
          <w:i w:val="false"/>
          <w:color w:val="000000"/>
          <w:sz w:val="22"/>
        </w:rPr>
        <w:t>This chapter shall not preclude the department from granting waivers in other contexts or on the basis of other standards if a statute or other department rule authorizes the director to do so, and the director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561—10.7</w:t>
      </w:r>
      <w:r>
        <w:rPr>
          <w:rFonts w:ascii="Times New Roman" w:hAnsi="Times New Roman"/>
          <w:b/>
          <w:i w:val="false"/>
          <w:color w:val="000000"/>
          <w:sz w:val="22"/>
        </w:rPr>
        <w:t xml:space="preserve">(17A,455A) </w:t>
      </w:r>
      <w:r>
        <w:rPr>
          <w:rFonts w:ascii="Times New Roman" w:hAnsi="Times New Roman"/>
          <w:b/>
          <w:i w:val="false"/>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department shall balance the special individual circumstances of the petitioner with the overall goal of uniform treatment of all persons governed by the particular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561—10.8</w:t>
      </w:r>
      <w:r>
        <w:rPr>
          <w:rFonts w:ascii="Times New Roman" w:hAnsi="Times New Roman"/>
          <w:b/>
          <w:i w:val="false"/>
          <w:color w:val="000000"/>
          <w:sz w:val="22"/>
        </w:rPr>
        <w:t xml:space="preserve">(17A,455A)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shall be submitted in writing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The department may elect not to rule on the waiver petition until the resolution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561—10.9</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Contents of petition. </w:t>
      </w:r>
      <w:r>
        <w:rPr>
          <w:rFonts w:ascii="Times New Roman" w:hAnsi="Times New Roman"/>
          <w:b w:val="false"/>
          <w:i w:val="false"/>
          <w:color w:val="000000"/>
          <w:sz w:val="22"/>
        </w:rPr>
        <w:t>A petition for waiver shall include the following information when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department and the petitioner for the past five years, including a description of each affected permit held by the petitioner, and any notices of violation, administrative orders, contested case proceedings, and lawsuits involving the department and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regarding the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of the state or federal government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561—10.10</w:t>
      </w:r>
      <w:r>
        <w:rPr>
          <w:rFonts w:ascii="Times New Roman" w:hAnsi="Times New Roman"/>
          <w:b/>
          <w:i w:val="false"/>
          <w:color w:val="000000"/>
          <w:sz w:val="22"/>
        </w:rPr>
        <w:t xml:space="preserve">(17A,455A)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 decision granting or denying a waiver, the department may request additional information from the petitioner relative to the petition and surrounding circumstances. If the petition was not filed in a contested case, the director may, on the director’s own motion or at the petitioner’s request, schedule a telephonic or in-person meeting between the petitioner and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561—10.11</w:t>
      </w:r>
      <w:r>
        <w:rPr>
          <w:rFonts w:ascii="Times New Roman" w:hAnsi="Times New Roman"/>
          <w:b/>
          <w:i w:val="false"/>
          <w:color w:val="000000"/>
          <w:sz w:val="22"/>
        </w:rPr>
        <w:t xml:space="preserve">(17A,455A) </w:t>
      </w:r>
      <w:r>
        <w:rPr>
          <w:rFonts w:ascii="Times New Roman" w:hAnsi="Times New Roman"/>
          <w:b/>
          <w:i w:val="false"/>
          <w:color w:val="000000"/>
          <w:sz w:val="22"/>
        </w:rPr>
        <w:t xml:space="preserve">Notice. </w:t>
      </w:r>
      <w:r>
        <w:rPr>
          <w:rFonts w:ascii="Times New Roman" w:hAnsi="Times New Roman"/>
          <w:b w:val="false"/>
          <w:i w:val="false"/>
          <w:color w:val="000000"/>
          <w:sz w:val="22"/>
        </w:rPr>
        <w:t>The petitioner, within 30 days of submission of the petition, shall serve by certified mail notice of the pending petition and a concise summary of its contents upon all persons to whom notice is required by any provision of law. The petitioner shall provide a written statement to the department attesting that the required notice has been provided. The department shall acknowledge a petition upon receipt and, in addition, the department may give notice to other persons.</w:t>
      </w:r>
    </w:p>
    <w:p>
      <w:pPr>
        <w:spacing w:before="0" w:after="0"/>
        <w:ind w:left="120"/>
        <w:jc w:val="both"/>
      </w:pPr>
      <w:r>
        <w:rPr>
          <w:rFonts w:ascii="Times New Roman" w:hAnsi="Times New Roman"/>
          <w:b/>
          <w:i w:val="false"/>
          <w:color w:val="000000"/>
          <w:sz w:val="22"/>
        </w:rPr>
        <w:t>561—10.12</w:t>
      </w:r>
      <w:r>
        <w:rPr>
          <w:rFonts w:ascii="Times New Roman" w:hAnsi="Times New Roman"/>
          <w:b/>
          <w:i w:val="false"/>
          <w:color w:val="000000"/>
          <w:sz w:val="22"/>
        </w:rPr>
        <w:t xml:space="preserve">(17A,455A)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of a rule filed within a contested case and shall otherwise apply to department proceedings for a waiver only when the department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561—10.13</w:t>
      </w:r>
      <w:r>
        <w:rPr>
          <w:rFonts w:ascii="Times New Roman" w:hAnsi="Times New Roman"/>
          <w:b/>
          <w:i w:val="false"/>
          <w:color w:val="000000"/>
          <w:sz w:val="22"/>
        </w:rPr>
        <w:t xml:space="preserve">(17A,455A) </w:t>
      </w:r>
      <w:r>
        <w:rPr>
          <w:rFonts w:ascii="Times New Roman" w:hAnsi="Times New Roman"/>
          <w:b/>
          <w:i w:val="false"/>
          <w:color w:val="000000"/>
          <w:sz w:val="22"/>
        </w:rPr>
        <w:t xml:space="preserve">Ruling. </w:t>
      </w:r>
      <w:r>
        <w:rPr>
          <w:rFonts w:ascii="Times New Roman" w:hAnsi="Times New Roman"/>
          <w:b w:val="false"/>
          <w:i w:val="false"/>
          <w:color w:val="000000"/>
          <w:sz w:val="22"/>
        </w:rPr>
        <w:t>A decision granting or denying a waiver shall be in writing and shall contain a reference to the particular person and rule or portion thereof to which the decision pertains, a statement of the relevant facts and reasons upon which the action is based, and a description of the precise scope and operative period of the waiver if one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561—10.14</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Conditions. </w:t>
      </w:r>
      <w:r>
        <w:rPr>
          <w:rFonts w:ascii="Times New Roman" w:hAnsi="Times New Roman"/>
          <w:b w:val="false"/>
          <w:i w:val="false"/>
          <w:color w:val="000000"/>
          <w:sz w:val="22"/>
        </w:rPr>
        <w:t>The department may condition the granting of the waiver on such reasonable conditions as appropriate to achieve the objectives of the particular rule in question through alternative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561—10.15</w:t>
      </w:r>
      <w:r>
        <w:rPr>
          <w:rFonts w:ascii="Times New Roman" w:hAnsi="Times New Roman"/>
          <w:b/>
          <w:i w:val="false"/>
          <w:color w:val="000000"/>
          <w:sz w:val="22"/>
        </w:rPr>
        <w:t xml:space="preserve">(17A,455A) </w:t>
      </w:r>
      <w:r>
        <w:rPr>
          <w:rFonts w:ascii="Times New Roman" w:hAnsi="Times New Roman"/>
          <w:b/>
          <w:i w:val="false"/>
          <w:color w:val="000000"/>
          <w:sz w:val="22"/>
        </w:rPr>
        <w:t xml:space="preserve">Time for ruling. </w:t>
      </w:r>
      <w:r>
        <w:rPr>
          <w:rFonts w:ascii="Times New Roman" w:hAnsi="Times New Roman"/>
          <w:b w:val="false"/>
          <w:i w:val="false"/>
          <w:color w:val="000000"/>
          <w:sz w:val="22"/>
        </w:rPr>
        <w:t>The department shall grant or deny a petition for a waiver as soon as practicable but, in any event, shall do so within 120 days of receipt of the petition, unless the petitioner agrees to a later date. However, if a petition is filed in a contested case, the department shall grant or deny the petition no later than the time at which the final decision in that contested case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561—10.16</w:t>
      </w:r>
      <w:r>
        <w:rPr>
          <w:rFonts w:ascii="Times New Roman" w:hAnsi="Times New Roman"/>
          <w:b/>
          <w:i w:val="false"/>
          <w:color w:val="000000"/>
          <w:sz w:val="22"/>
        </w:rPr>
        <w:t xml:space="preserve">(17A,455A) </w:t>
      </w:r>
      <w:r>
        <w:rPr>
          <w:rFonts w:ascii="Times New Roman" w:hAnsi="Times New Roman"/>
          <w:b/>
          <w:i w:val="false"/>
          <w:color w:val="000000"/>
          <w:sz w:val="22"/>
        </w:rPr>
        <w:t xml:space="preserve">When deemed denied. </w:t>
      </w:r>
      <w:r>
        <w:rPr>
          <w:rFonts w:ascii="Times New Roman" w:hAnsi="Times New Roman"/>
          <w:b w:val="false"/>
          <w:i w:val="false"/>
          <w:color w:val="000000"/>
          <w:sz w:val="22"/>
        </w:rPr>
        <w:t>Failure of the director or the department in a contested case proceeding to grant or deny a petition within the required time period shall be deemed a denial of that petition by the department.</w:t>
      </w:r>
    </w:p>
    <w:p>
      <w:pPr>
        <w:spacing w:before="210" w:after="0"/>
        <w:ind w:left="120"/>
        <w:jc w:val="both"/>
      </w:pPr>
      <w:r>
        <w:rPr>
          <w:rFonts w:ascii="Times New Roman" w:hAnsi="Times New Roman"/>
          <w:b/>
          <w:i w:val="false"/>
          <w:color w:val="000000"/>
          <w:sz w:val="22"/>
        </w:rPr>
        <w:t>561—10.17</w:t>
      </w:r>
      <w:r>
        <w:rPr>
          <w:rFonts w:ascii="Times New Roman" w:hAnsi="Times New Roman"/>
          <w:b/>
          <w:i w:val="false"/>
          <w:color w:val="000000"/>
          <w:sz w:val="22"/>
        </w:rPr>
        <w:t xml:space="preserve">(17A,455A) </w:t>
      </w:r>
      <w:r>
        <w:rPr>
          <w:rFonts w:ascii="Times New Roman" w:hAnsi="Times New Roman"/>
          <w:b/>
          <w:i w:val="false"/>
          <w:color w:val="000000"/>
          <w:sz w:val="22"/>
        </w:rPr>
        <w:t xml:space="preserve">Service of decision. </w:t>
      </w:r>
      <w:r>
        <w:rPr>
          <w:rFonts w:ascii="Times New Roman" w:hAnsi="Times New Roman"/>
          <w:b w:val="false"/>
          <w:i w:val="false"/>
          <w:color w:val="000000"/>
          <w:sz w:val="22"/>
        </w:rPr>
        <w:t>Within seven days of its issuance, any decision issued under this chapter shall be transmitted to the petitioner or the person to whom the decision pertains and to any other person entitled to such notice by any provision of law.</w:t>
      </w:r>
    </w:p>
    <w:p>
      <w:pPr>
        <w:spacing w:before="0" w:after="0"/>
        <w:ind w:left="120"/>
        <w:jc w:val="both"/>
      </w:pPr>
      <w:r>
        <w:rPr>
          <w:rFonts w:ascii="Times New Roman" w:hAnsi="Times New Roman"/>
          <w:b/>
          <w:i w:val="false"/>
          <w:color w:val="000000"/>
          <w:sz w:val="22"/>
        </w:rPr>
        <w:t>561—10.18</w:t>
      </w:r>
      <w:r>
        <w:rPr>
          <w:rFonts w:ascii="Times New Roman" w:hAnsi="Times New Roman"/>
          <w:b/>
          <w:i w:val="false"/>
          <w:color w:val="000000"/>
          <w:sz w:val="22"/>
        </w:rPr>
        <w:t xml:space="preserve">(17A,455A)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shall maintain a record of all decisions granting and denying waivers under this chapter. All final rulings in response to requests for waivers shall be indexed and available to members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561—10.19</w:t>
      </w:r>
      <w:r>
        <w:rPr>
          <w:rFonts w:ascii="Times New Roman" w:hAnsi="Times New Roman"/>
          <w:b/>
          <w:i w:val="false"/>
          <w:color w:val="000000"/>
          <w:sz w:val="22"/>
        </w:rPr>
        <w:t xml:space="preserve">(17A,455A)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department may at any time cancel a waiver if the department finds that the facts as stated in the request are not true, material facts have been withheld, the alternative means of compliance provided in the waiver have failed to achieve the objectives of the statute, or the requester has failed to comply with the conditions of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561—10.20</w:t>
      </w:r>
      <w:r>
        <w:rPr>
          <w:rFonts w:ascii="Times New Roman" w:hAnsi="Times New Roman"/>
          <w:b/>
          <w:i w:val="false"/>
          <w:color w:val="000000"/>
          <w:sz w:val="22"/>
        </w:rPr>
        <w:t xml:space="preserve">(17A,455A)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of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561—10.21</w:t>
      </w:r>
      <w:r>
        <w:rPr>
          <w:rFonts w:ascii="Times New Roman" w:hAnsi="Times New Roman"/>
          <w:b/>
          <w:i w:val="false"/>
          <w:color w:val="000000"/>
          <w:sz w:val="22"/>
        </w:rPr>
        <w:t xml:space="preserve">(17A,455A)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department issues a decision granting a waiver, the decision is a defense within its terms and the specific facts indicated therein for the person to whom the decision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5516C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8/31/01, Notice 2/21/01—published 9/19/01, effective 10/24/01]</w:t>
      </w:r>
    </w:p>
    <w:p>
      <w:pPr>
        <w:spacing w:before="0" w:after="0"/>
        <w:ind w:left="120"/>
        <w:jc w:val="center"/>
      </w:pPr>
      <w:r>
        <w:rPr>
          <w:rFonts w:ascii="Times New Roman" w:hAnsi="Times New Roman"/>
          <w:b w:val="false"/>
          <w:i w:val="false"/>
          <w:color w:val="000000"/>
          <w:sz w:val="21"/>
        </w:rPr>
        <w:t>[Filed ARC 5516C</w:t>
      </w:r>
      <w:r>
        <w:rPr>
          <w:rFonts w:ascii="Times New Roman" w:hAnsi="Times New Roman"/>
          <w:b w:val="false"/>
          <w:i w:val="false"/>
          <w:color w:val="000000"/>
          <w:sz w:val="21"/>
        </w:rPr>
        <w:t xml:space="preserve"> (Notice ARC 5380C,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pdf" Type="http://schemas.openxmlformats.org/officeDocument/2006/relationships/hyperlink" Id="rId5"/>
    <Relationship TargetMode="External" Target="https://www.legis.iowa.gov/docs/ico/chapter/455B.143.pdf" Type="http://schemas.openxmlformats.org/officeDocument/2006/relationships/hyperlink" Id="rId6"/>
    <Relationship TargetMode="External" Target="https://www.legis.iowa.gov/docs/iac/rule/561.10.4.pdf" Type="http://schemas.openxmlformats.org/officeDocument/2006/relationships/hyperlink" Id="rId7"/>
    <Relationship TargetMode="External" Target="https://www.legis.iowa.gov/docs/ico/chapter/17A.10-18A.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455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