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GENERAL ACCREDITATION STANDARDS</w:t>
      </w:r>
    </w:p>
    <w:p>
      <w:pPr>
        <w:spacing w:before="0" w:after="0"/>
        <w:ind w:left="120"/>
        <w:jc w:val="center"/>
      </w:pPr>
      <w:r>
        <w:rPr>
          <w:rFonts w:ascii="Times New Roman" w:hAnsi="Times New Roman"/>
          <w:b w:val="false"/>
          <w:i w:val="false"/>
          <w:color w:val="000000"/>
          <w:sz w:val="14"/>
        </w:rPr>
        <w:t>[Prior to 9/7/88, see Public Instruction Department[670]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Schools and school districts governed by general accreditation standards. </w:t>
      </w:r>
      <w:r>
        <w:rPr>
          <w:rFonts w:ascii="Times New Roman" w:hAnsi="Times New Roman"/>
          <w:b w:val="false"/>
          <w:i w:val="false"/>
          <w:color w:val="000000"/>
          <w:sz w:val="22"/>
        </w:rPr>
        <w:t xml:space="preserve">To become or remain accredited, school districts and accredited nonpublic schools are to comply with Iowa Code section </w:t>
      </w:r>
      <w:hyperlink r:id="rId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Each school or school district shall be governed by an identifiable authority that exercises the functions necessary for the effective operation of the school and is referred to in these rules as the “board” and as referenced in Iowa Code sections </w:t>
      </w:r>
      <w:hyperlink r:id="rId6">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from the department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schools seeking accreditation under rule </w:t>
      </w:r>
      <w:hyperlink r:id="rId8">
        <w:r>
          <w:rPr>
            <w:rStyle w:val="Hyperlink"/>
            <w:rFonts w:ascii="Times New Roman" w:hAnsi="Times New Roman"/>
            <w:b w:val="false"/>
            <w:i w:val="false"/>
            <w:color w:val="000000"/>
            <w:sz w:val="22"/>
          </w:rPr>
          <w:t>281—12.10</w:t>
        </w:r>
      </w:hyperlink>
      <w:r>
        <w:rPr>
          <w:rFonts w:ascii="Times New Roman" w:hAnsi="Times New Roman"/>
          <w:b w:val="false"/>
          <w:i w:val="false"/>
          <w:color w:val="000000"/>
          <w:sz w:val="22"/>
        </w:rPr>
        <w:t xml:space="preserve">(256) shall provide evidence of accreditation by an organization approved under </w:t>
      </w:r>
      <w:hyperlink r:id="rId9">
        <w:r>
          <w:rPr>
            <w:rStyle w:val="Hyperlink"/>
            <w:rFonts w:ascii="Times New Roman" w:hAnsi="Times New Roman"/>
            <w:b w:val="false"/>
            <w:i w:val="false"/>
            <w:color w:val="000000"/>
            <w:sz w:val="22"/>
          </w:rPr>
          <w:t>subrule 12.10(1)</w:t>
        </w:r>
      </w:hyperlink>
      <w:r>
        <w:rPr>
          <w:rFonts w:ascii="Times New Roman" w:hAnsi="Times New Roman"/>
          <w:b w:val="false"/>
          <w:i w:val="false"/>
          <w:color w:val="000000"/>
          <w:sz w:val="22"/>
        </w:rPr>
        <w:t xml:space="preserve"> and such assurances of compliance with Iowa school law that the department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Accredited schools and school districts. </w:t>
      </w:r>
      <w:r>
        <w:rPr>
          <w:rFonts w:ascii="Times New Roman" w:hAnsi="Times New Roman"/>
          <w:b w:val="false"/>
          <w:i w:val="false"/>
          <w:color w:val="000000"/>
          <w:sz w:val="22"/>
        </w:rPr>
        <w:t xml:space="preserve">Each school or school district receiving accreditation under the provisions of these standards will remain accredited except when by action of the state board of education it is removed from the list of accredited schools maintained by the department in accordance with Iowa Code sections </w:t>
      </w:r>
      <w:hyperlink r:id="rId10">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256.11(12)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When nonaccredited. </w:t>
      </w:r>
      <w:r>
        <w:rPr>
          <w:rFonts w:ascii="Times New Roman" w:hAnsi="Times New Roman"/>
          <w:b w:val="false"/>
          <w:i w:val="false"/>
          <w:color w:val="000000"/>
          <w:sz w:val="22"/>
        </w:rPr>
        <w:t>A school district is nonaccredited on the day after the date it is removed from the list of accredited schools by action of the state board of education. A nonpublic school is nonaccredited on the date established by the resolution of the state board, which will be no later than the end of the school year in which the nonpublic school is declared to be nonaccredited.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Alternative provisions for accreditation. </w:t>
      </w:r>
      <w:r>
        <w:rPr>
          <w:rFonts w:ascii="Times New Roman" w:hAnsi="Times New Roman"/>
          <w:b w:val="false"/>
          <w:i w:val="false"/>
          <w:color w:val="000000"/>
          <w:sz w:val="22"/>
        </w:rPr>
        <w:t xml:space="preserve">School districts may meet accreditation requirements through the provisions of Iowa Code sections </w:t>
      </w:r>
      <w:hyperlink r:id="rId12">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 xml:space="preserve">, nonresident students; </w:t>
      </w:r>
      <w:hyperlink r:id="rId13">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services to school districts; </w:t>
      </w:r>
      <w:hyperlink r:id="rId14">
        <w:r>
          <w:rPr>
            <w:rStyle w:val="Hyperlink"/>
            <w:rFonts w:ascii="Times New Roman" w:hAnsi="Times New Roman"/>
            <w:b w:val="false"/>
            <w:i w:val="false"/>
            <w:color w:val="000000"/>
            <w:sz w:val="22"/>
          </w:rPr>
          <w:t>279.20</w:t>
        </w:r>
      </w:hyperlink>
      <w:r>
        <w:rPr>
          <w:rFonts w:ascii="Times New Roman" w:hAnsi="Times New Roman"/>
          <w:b w:val="false"/>
          <w:i w:val="false"/>
          <w:color w:val="000000"/>
          <w:sz w:val="22"/>
        </w:rPr>
        <w:t xml:space="preserve">, superintendent—term; </w:t>
      </w:r>
      <w:hyperlink r:id="rId15">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joint employment and sharing; </w:t>
      </w:r>
      <w:hyperlink r:id="rId16">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attending in another corporation—payment; and </w:t>
      </w:r>
      <w:hyperlink r:id="rId17">
        <w:r>
          <w:rPr>
            <w:rStyle w:val="Hyperlink"/>
            <w:rFonts w:ascii="Times New Roman" w:hAnsi="Times New Roman"/>
            <w:b w:val="false"/>
            <w:i w:val="false"/>
            <w:color w:val="000000"/>
            <w:sz w:val="22"/>
          </w:rPr>
          <w:t>282.10</w:t>
        </w:r>
      </w:hyperlink>
      <w:r>
        <w:rPr>
          <w:rFonts w:ascii="Times New Roman" w:hAnsi="Times New Roman"/>
          <w:b w:val="false"/>
          <w:i w:val="false"/>
          <w:color w:val="000000"/>
          <w:sz w:val="22"/>
        </w:rPr>
        <w:t xml:space="preserve">, whole grade sharing. Nonpublic schools may meet accreditation requirements through the provisions of Iowa Code section </w:t>
      </w:r>
      <w:hyperlink r:id="rId1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Minimum school calendar. </w:t>
      </w:r>
      <w:r>
        <w:rPr>
          <w:rFonts w:ascii="Times New Roman" w:hAnsi="Times New Roman"/>
          <w:b w:val="false"/>
          <w:i w:val="false"/>
          <w:color w:val="000000"/>
          <w:sz w:val="22"/>
        </w:rPr>
        <w:t xml:space="preserve">The minimum school calendar is set, either by a minimum number of hours or a minimum number of days, pursuant to Iowa Code sections </w:t>
      </w:r>
      <w:hyperlink r:id="rId19">
        <w:r>
          <w:rPr>
            <w:rStyle w:val="Hyperlink"/>
            <w:rFonts w:ascii="Times New Roman" w:hAnsi="Times New Roman"/>
            <w:b w:val="false"/>
            <w:i w:val="false"/>
            <w:color w:val="000000"/>
            <w:sz w:val="22"/>
          </w:rPr>
          <w:t>256.7(19)</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The number of instructional days or hours within the school calendar and the length of the school day for kindergarten will be defined by the board or by authorities in charge of an accredited nonpublic school that operates a kindergarten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“Age-appropriate,” </w:t>
      </w:r>
      <w:r>
        <w:rPr>
          <w:rFonts w:ascii="Times New Roman" w:hAnsi="Times New Roman"/>
          <w:b w:val="false"/>
          <w:i w:val="false"/>
          <w:color w:val="000000"/>
          <w:sz w:val="22"/>
        </w:rPr>
        <w:t xml:space="preserve">with the exception of the human growth and development, means topics, messages, and teaching methods suitable to particular ages or age groups of children and adolescents, based on developing cognitive, emotional, and behavioral capacity typical for the age or age group. “Age-appropriate” does not include any material with descriptions or visual depictions of a sex act. A reference or mention of a sex act in a way that does not describe or visually depict a sex act as defined in these rules is not included in the previous sentence. For purposes of human growth and development instruction required by Iowa Code section </w:t>
      </w:r>
      <w:hyperlink r:id="rId22">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“age-appropriate” means topics, messages, and teaching methods suitable to particular ages or age groups of children and adolescents, based on developing cognitive, emotional, and behavioral capacity typical for the age or 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improvement goals” </w:t>
      </w:r>
      <w:r>
        <w:rPr>
          <w:rFonts w:ascii="Times New Roman" w:hAnsi="Times New Roman"/>
          <w:b w:val="false"/>
          <w:i w:val="false"/>
          <w:color w:val="000000"/>
          <w:sz w:val="22"/>
        </w:rPr>
        <w:t>means the desired one-year rate of improvement for students. Data from multiple measures may be used to determine the rate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“Benchmarks” </w:t>
      </w:r>
      <w:r>
        <w:rPr>
          <w:rFonts w:ascii="Times New Roman" w:hAnsi="Times New Roman"/>
          <w:b w:val="false"/>
          <w:i w:val="false"/>
          <w:color w:val="000000"/>
          <w:sz w:val="22"/>
        </w:rPr>
        <w:t>means specific knowledge and skills anchored to content standards that a student needs to accomplish by a specific grade or grade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directors in charge of a public school district or the authorities in charge of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“Competency-based education” </w:t>
      </w:r>
      <w:r>
        <w:rPr>
          <w:rFonts w:ascii="Times New Roman" w:hAnsi="Times New Roman"/>
          <w:b w:val="false"/>
          <w:i w:val="false"/>
          <w:color w:val="000000"/>
          <w:sz w:val="22"/>
        </w:rPr>
        <w:t xml:space="preserve">means that learners advance through content or earn credit based on demonstration of proficiency of competencies. Proficiency for this context is the demonstrated skill or knowledge required to advance to and be successful in higher levels of learning in that content area. Some students may advance through more content or earn more credit than in a traditional school year while others might take more than a traditional school year to advance through the same content and to earn credit. A student must meet the requirements of subrule </w:t>
      </w:r>
      <w:hyperlink r:id="rId23">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to be awarded credit in a competency-based system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plan that outlines what students shall be taught. Curriculum refers to all the courses offered, or all the courses offered in a particular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w:t>
      </w:r>
      <w:r>
        <w:rPr>
          <w:rFonts w:ascii="Times New Roman" w:hAnsi="Times New Roman"/>
          <w:b w:val="false"/>
          <w:i w:val="false"/>
          <w:color w:val="000000"/>
          <w:sz w:val="22"/>
        </w:rPr>
        <w:t>means all attendance centers within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assessments” </w:t>
      </w:r>
      <w:r>
        <w:rPr>
          <w:rFonts w:ascii="Times New Roman" w:hAnsi="Times New Roman"/>
          <w:b w:val="false"/>
          <w:i w:val="false"/>
          <w:color w:val="000000"/>
          <w:sz w:val="22"/>
        </w:rPr>
        <w:t>means large-scale achievement or performance measures. At least one districtwide assessment shall allow for the following: the comparison of the same group of students over time as they progress through the grades or the cross-sectional comparison of students at the same grades over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progress” </w:t>
      </w:r>
      <w:r>
        <w:rPr>
          <w:rFonts w:ascii="Times New Roman" w:hAnsi="Times New Roman"/>
          <w:b w:val="false"/>
          <w:i w:val="false"/>
          <w:color w:val="000000"/>
          <w:sz w:val="22"/>
        </w:rPr>
        <w:t>means the quantifiable change in school or school district student achievement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school-age student who is served by a public school district and enrolled in any of grades 7 through 12 and who does not attend school or withdraws from school for a reason other than death or transfer to another approved school or school district or has been expelled with no option to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The educational program adopted by the board is the entire offering of the school, including out-of-class activities and the sequence of curriculum areas and activities. The educational program will provide articulated, developmental learning experiences from the date of student entrance until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student” </w:t>
      </w:r>
      <w:r>
        <w:rPr>
          <w:rFonts w:ascii="Times New Roman" w:hAnsi="Times New Roman"/>
          <w:b w:val="false"/>
          <w:i w:val="false"/>
          <w:color w:val="000000"/>
          <w:sz w:val="22"/>
        </w:rPr>
        <w:t>means a person who has officially registered with the school or school district and is taking part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w:t>
      </w:r>
      <w:r>
        <w:rPr>
          <w:rFonts w:ascii="Times New Roman" w:hAnsi="Times New Roman"/>
          <w:b w:val="false"/>
          <w:i w:val="false"/>
          <w:color w:val="000000"/>
          <w:sz w:val="22"/>
        </w:rPr>
        <w:t>provide information about the general status, quality, or performance of an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program” </w:t>
      </w:r>
      <w:r>
        <w:rPr>
          <w:rFonts w:ascii="Times New Roman" w:hAnsi="Times New Roman"/>
          <w:b w:val="false"/>
          <w:i w:val="false"/>
          <w:color w:val="000000"/>
          <w:sz w:val="22"/>
        </w:rPr>
        <w:t>means an articulated sequential kindergarten through grade 12 library or media program that enhances student achievement and is integral to the school district’s curricula and instructional program. The library program is planned and implemented by a qualified teacher librarian working collaboratively with the district’s administration and instructional staff. The library program services provided to students and staff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Support of the overall school curricula;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Collaborative planning and teaching;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Promotion of reading and literacy;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literacy instruction;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Access to a diverse and appropriate school library collection;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Learning enhancement through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“Long-range goals” </w:t>
      </w:r>
      <w:r>
        <w:rPr>
          <w:rFonts w:ascii="Times New Roman" w:hAnsi="Times New Roman"/>
          <w:b w:val="false"/>
          <w:i w:val="false"/>
          <w:color w:val="000000"/>
          <w:sz w:val="22"/>
        </w:rPr>
        <w:t>means desired targets to be reached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assessment measures,” </w:t>
      </w:r>
      <w:r>
        <w:rPr>
          <w:rFonts w:ascii="Times New Roman" w:hAnsi="Times New Roman"/>
          <w:b w:val="false"/>
          <w:i w:val="false"/>
          <w:color w:val="000000"/>
          <w:sz w:val="22"/>
        </w:rPr>
        <w:t>for reporting to the local community or the state, means more than one valid and reliable instrument that quantifies districtwide student learning, including specific grade-level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levels.” </w:t>
      </w:r>
      <w:r>
        <w:rPr>
          <w:rFonts w:ascii="Times New Roman" w:hAnsi="Times New Roman"/>
          <w:b w:val="false"/>
          <w:i w:val="false"/>
          <w:color w:val="000000"/>
          <w:sz w:val="22"/>
        </w:rPr>
        <w:t>The federal Elementary and Secondary Education Act (ESEA) requires that at least three levels of performance be established to assist in determining which students have or have not achieved a satisfactory or proficient level of performance. At least two of those three levels will describe what all students ought to know or be able to do if their achievement or performance is deemed proficient or advanced. The third level will describe students who are not yet performing at the proficient level. A school or school district may establish more than three performance levels that include all students for districtwide or other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includes a school district’s implementation of the preschool program pursuant to Iowa Code chapter </w:t>
      </w:r>
      <w:hyperlink r:id="rId24">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“Proficient,” </w:t>
      </w:r>
      <w:r>
        <w:rPr>
          <w:rFonts w:ascii="Times New Roman" w:hAnsi="Times New Roman"/>
          <w:b w:val="false"/>
          <w:i w:val="false"/>
          <w:color w:val="000000"/>
          <w:sz w:val="22"/>
        </w:rPr>
        <w:t>as it relates to content standards, characterizes student performance at a level that is acceptable by the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counseling program” </w:t>
      </w:r>
      <w:r>
        <w:rPr>
          <w:rFonts w:ascii="Times New Roman" w:hAnsi="Times New Roman"/>
          <w:b w:val="false"/>
          <w:i w:val="false"/>
          <w:color w:val="000000"/>
          <w:sz w:val="22"/>
        </w:rPr>
        <w:t xml:space="preserve">means an articulated sequential kindergarten through grade 12 program that is comprehensive in scope, preventive in design, developmental in nature, driven by data, and integral to the school district’s curricula and instructional program. The program is implemented by at least one school counselor, appropriately licensed by the board of educational examiners, who works collaboratively with the district’s administration and instructional staff. The program standards are described in </w:t>
      </w:r>
      <w:hyperlink r:id="rId25">
        <w:r>
          <w:rPr>
            <w:rStyle w:val="Hyperlink"/>
            <w:rFonts w:ascii="Times New Roman" w:hAnsi="Times New Roman"/>
            <w:b w:val="false"/>
            <w:i w:val="false"/>
            <w:color w:val="000000"/>
            <w:sz w:val="22"/>
          </w:rPr>
          <w:t>subrule 12.3(11)</w:t>
        </w:r>
      </w:hyperlink>
      <w:r>
        <w:rPr>
          <w:rFonts w:ascii="Times New Roman" w:hAnsi="Times New Roman"/>
          <w:b w:val="false"/>
          <w:i w:val="false"/>
          <w:color w:val="000000"/>
          <w:sz w:val="22"/>
        </w:rPr>
        <w:t>. The program’s delivery system components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guidance curriculum;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Support of the overall school curriculum;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student planning;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Responsive services;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System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means a committee, as defined in Iowa Code section </w:t>
      </w:r>
      <w:hyperlink r:id="rId26">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that is appointed by the board. Committee membership will include students, parents, teachers, administrators, and representatives from the local community that may include business, industry, labor, community agencies, higher education, or other community constituents. To the extent possible, committee membership is to have balanced representation of the following: race, gender, national origin, and disability. The school improvement advisory committee as defined by Iowa Code section </w:t>
      </w:r>
      <w:hyperlink r:id="rId27">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and the board are also part of, but not inclusive of,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act” </w:t>
      </w:r>
      <w:r>
        <w:rPr>
          <w:rFonts w:ascii="Times New Roman" w:hAnsi="Times New Roman"/>
          <w:b w:val="false"/>
          <w:i w:val="false"/>
          <w:color w:val="000000"/>
          <w:sz w:val="22"/>
        </w:rPr>
        <w:t>means any sexual contact between two or more persons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Penetration of the penis into the vagina or anus.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Contact between the mouth and genitalia or mouth and anus or by contact between the genitalia of one person and the genitalia or anus of another person.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Contact between the finger, hand, or other body part of one person and the genitalia or anus of another person, except in the course of examination or treatment by a person licensed pursuant to Iowa Code chapters </w:t>
      </w:r>
      <w:hyperlink r:id="rId2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Ejaculation onto the person of another.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 of artificial sexual organs or substitutes therefore in contact with the genitalia or anus.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touching of a person’s own genitals or anus with a finger, hand, or artificial sexual organ or other similar device at the direction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learning goals” </w:t>
      </w:r>
      <w:r>
        <w:rPr>
          <w:rFonts w:ascii="Times New Roman" w:hAnsi="Times New Roman"/>
          <w:b w:val="false"/>
          <w:i w:val="false"/>
          <w:color w:val="000000"/>
          <w:sz w:val="22"/>
        </w:rPr>
        <w:t>means general statements of expectations for all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means students who have individualized education programs regardless of the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“Subgroups” </w:t>
      </w:r>
      <w:r>
        <w:rPr>
          <w:rFonts w:ascii="Times New Roman" w:hAnsi="Times New Roman"/>
          <w:b w:val="false"/>
          <w:i w:val="false"/>
          <w:color w:val="000000"/>
          <w:sz w:val="22"/>
        </w:rPr>
        <w:t>means a subset of the student population that has a common characteristic. Subgroups include, but are not limited to, gender, race, students with disabilities, and socioeconomic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32">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34">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as effective on February 7, 2024, and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36">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38">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39">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40">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xml:space="preserve">, gender identity as defined in Iowa Code section </w:t>
      </w:r>
      <w:hyperlink r:id="rId41">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42">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43">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student competencies in academic, career, personal, and social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45">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46">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that contains only age-appropriate materials, and that supports the student achievement goals of the total school curriculum. In complying with the requirements in Iowa Code section </w:t>
      </w:r>
      <w:hyperlink r:id="rId47">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monitoring, and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the provisions of this subrule related to library programs containing only age-appropriate materials, beginning January 1, 2024,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that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that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paragraph relates solely to library programs operated by the district, which means library programs over which the district exercises administrative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provisions relating to library books containing only age-appropriate materials, the department may exercise enforcement discretion if any violation is voluntarily and permanently corrected prior to the department making a determination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library collections that serve multiple grade ranges, the district will exercise reasonable physical, administrative, and technological controls to ensure that students have access to age-appropriate materials based on the students’ ages and 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48">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49">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50">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section 279.80.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provide any program, curriculum, test, survey, questionnaire, promotion, or instruction relating to gender identity or sexual orientation to students in kindergarten through grade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“Gender identity” and “sexual orientation” have the same meanings as those given in Iowa Code section </w:t>
      </w:r>
      <w:hyperlink r:id="rId51">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monitoring and enforcing this subrule, the department will not conclude that a neutral statement regarding sexual orientation or gender identity violates Iowa Code section </w:t>
      </w:r>
      <w:hyperlink r:id="rId52">
        <w:r>
          <w:rPr>
            <w:rStyle w:val="Hyperlink"/>
            <w:rFonts w:ascii="Times New Roman" w:hAnsi="Times New Roman"/>
            <w:b w:val="false"/>
            <w:i w:val="false"/>
            <w:color w:val="000000"/>
            <w:sz w:val="22"/>
          </w:rPr>
          <w:t>279.80</w:t>
        </w:r>
      </w:hyperlink>
      <w:r>
        <w:rPr>
          <w:rFonts w:ascii="Times New Roman" w:hAnsi="Times New Roman"/>
          <w:b w:val="false"/>
          <w:i w:val="false"/>
          <w:color w:val="000000"/>
          <w:sz w:val="22"/>
        </w:rPr>
        <w:t xml:space="preserve"> or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8982C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personnel. </w:t>
      </w:r>
      <w:r>
        <w:rPr>
          <w:rFonts w:ascii="Times New Roman" w:hAnsi="Times New Roman"/>
          <w:b w:val="false"/>
          <w:i w:val="false"/>
          <w:color w:val="000000"/>
          <w:sz w:val="22"/>
        </w:rPr>
        <w:t xml:space="preserve">License/certificate and endorsement standards required in this rule relate to licenses/certificates and endorsements issued by the state board of educational examiners as referenced in Iowa Code chapter </w:t>
      </w:r>
      <w:hyperlink r:id="rId5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 The following standards apply to personnel employed in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Instructional professional staff. </w:t>
      </w:r>
      <w:r>
        <w:rPr>
          <w:rFonts w:ascii="Times New Roman" w:hAnsi="Times New Roman"/>
          <w:b w:val="false"/>
          <w:i w:val="false"/>
          <w:color w:val="000000"/>
          <w:sz w:val="22"/>
        </w:rPr>
        <w:t xml:space="preserve">Each person who holds a license/certificate endorsed for the service for which that person is employed is eligible for classification as a member of the instructional professional staff as referenced in Iowa Code section </w:t>
      </w:r>
      <w:hyperlink r:id="rId54">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Noninstructional professional staff. </w:t>
      </w:r>
      <w:r>
        <w:rPr>
          <w:rFonts w:ascii="Times New Roman" w:hAnsi="Times New Roman"/>
          <w:b w:val="false"/>
          <w:i w:val="false"/>
          <w:color w:val="000000"/>
          <w:sz w:val="22"/>
        </w:rPr>
        <w:t>A person who holds a statement of professional recognition, including a physician, dentist, nurse, speech therapist, or a person in one of the other noninstructional professional areas designated by the state board of education, is eligible for classification as a member of the noninstructional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of professional staff. </w:t>
      </w:r>
      <w:r>
        <w:rPr>
          <w:rFonts w:ascii="Times New Roman" w:hAnsi="Times New Roman"/>
          <w:b w:val="false"/>
          <w:i w:val="false"/>
          <w:color w:val="000000"/>
          <w:sz w:val="22"/>
        </w:rPr>
        <w:t>Each member of the professional staff will be classified as either instructional or noninstructional. An instructional professional staff member will be regarded as approved when holding either an appropriate license/certificate with endorsement or endorsements, or a license/certificate with an endorsement statement, indicating the specific teaching assignments that may be given. A noninstructional professional staff member will be regarded as approved when holding a statement of professional recognition for the specific type of noninstructional professional school service for which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Required administrative personnel. </w:t>
      </w:r>
      <w:r>
        <w:rPr>
          <w:rFonts w:ascii="Times New Roman" w:hAnsi="Times New Roman"/>
          <w:b w:val="false"/>
          <w:i w:val="false"/>
          <w:color w:val="000000"/>
          <w:sz w:val="22"/>
        </w:rPr>
        <w:t xml:space="preserve">Each board that operates both an elementary school and a secondary school will employ as its executive officer and chief administrator a person who holds a license/certificate endorsed for service as a superintendent. The board of a school district may meet this provision by contracting with its area education agency for “superintendency services” as provided by Iowa Code section </w:t>
      </w:r>
      <w:hyperlink r:id="rId55">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The individual employed or contracted for as superintendent may serve as an elementary principal or as a high school principal in that school or school district provided that the superintendent holds the proper licensure/certification. For purposes of this subrule, high school means a school that commences with either grade 9 or grade 10, as determined by the board of directors of the school district, or by the governing authority of the nonpublic school in the case of nonpublic schools. Boards of school districts may jointly employ a superintendent, provided such arrangements comply with the provisions of Iowa Code section </w:t>
      </w:r>
      <w:hyperlink r:id="rId56">
        <w:r>
          <w:rPr>
            <w:rStyle w:val="Hyperlink"/>
            <w:rFonts w:ascii="Times New Roman" w:hAnsi="Times New Roman"/>
            <w:b w:val="false"/>
            <w:i w:val="false"/>
            <w:color w:val="000000"/>
            <w:sz w:val="22"/>
          </w:rPr>
          <w:t>279.23(4)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policies—elementary schools. </w:t>
      </w:r>
      <w:r>
        <w:rPr>
          <w:rFonts w:ascii="Times New Roman" w:hAnsi="Times New Roman"/>
          <w:b w:val="false"/>
          <w:i w:val="false"/>
          <w:color w:val="000000"/>
          <w:sz w:val="22"/>
        </w:rPr>
        <w:t>The board operating an elementary school will develop and adopt staffing policies designed to attract, retain, and effectively utilize competent personnel. Each board operating an elementary school will employ at least one elementary principal. This position may be combined with that of secondary principal or with a teaching assignment at the elementary or secondary level, provided the individual holds the proper licenses/certificates and endorsements.</w:t>
      </w:r>
    </w:p>
    <w:p>
      <w:pPr>
        <w:spacing w:before="0" w:after="0"/>
        <w:ind w:left="120"/>
        <w:jc w:val="both"/>
      </w:pPr>
      <w:r>
        <w:rPr>
          <w:rFonts w:ascii="Times New Roman" w:hAnsi="Times New Roman"/>
          <w:b w:val="false"/>
          <w:i w:val="false"/>
          <w:color w:val="000000"/>
          <w:sz w:val="22"/>
        </w:rPr>
        <w:t>When grades 7 and 8 are part of an organized and administered junior high school, the staffing policies adopted by the board for secondary schools apply. When grades 7 and 8 are part of an organized and administered middle school, the staffing policies adopted by the board for elementary schools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policies—secondary schools. </w:t>
      </w:r>
      <w:r>
        <w:rPr>
          <w:rFonts w:ascii="Times New Roman" w:hAnsi="Times New Roman"/>
          <w:b w:val="false"/>
          <w:i w:val="false"/>
          <w:color w:val="000000"/>
          <w:sz w:val="22"/>
        </w:rPr>
        <w:t>The board operating a secondary school will develop and adopt staffing policies designed to attract, retain, and effectively utilize competent personnel. Each board operating a secondary school will employ at least one secondary principal. This position may be combined with that of elementary principal or with a teaching assignment at the elementary or secondary level, provided the individual holds the proper licenses/certificates and endorsements. This position may be combined with that of superintendent, but one person may not serve as elementary principal, secondary principal, and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“Principal” means a licensed/certificated member of a school’s instructional staff who serves as an instructional leader, coordinates the process and substance of educational and instructional programs, coordinates the budget of the school, provides formative evaluation for all practitioners and other persons in the school, recommends or has effective authority to appoint, assign, promote, or transfer personnel in a school building, implements the local school board’s policy in a manner consistent with professional practice and ethics, and assists in the development and supervision of a school’s student activities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12.4(8)</w:t>
      </w: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A teacher is defined as a member of the instructional professional staff who holds a license/certificate endorsed for the type of position in which employed. A teacher diagnoses, prescribes, evaluates, and directs student learnings in terms of the school’s objectives, either singly or in concert with other professional staff members; shares responsibility with the total professional staff for developing educational procedures and student activities to be used in achieving the school’s objectives; supervises educational aides who assist in serving students for whom the teacher is responsible; and evaluates or assesses student progress during and following instruction in terms of the objectives sought, and uses this information to develop further educational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12.4(9)</w:t>
      </w:r>
      <w:r>
        <w:rPr>
          <w:rFonts w:ascii="Times New Roman" w:hAnsi="Times New Roman"/>
          <w:b w:val="false"/>
          <w:i w:val="false"/>
          <w:color w:val="000000"/>
          <w:sz w:val="22"/>
        </w:rPr>
        <w:t> </w:t>
      </w:r>
      <w:r>
        <w:rPr>
          <w:rFonts w:ascii="Times New Roman" w:hAnsi="Times New Roman"/>
          <w:b w:val="false"/>
          <w:i/>
          <w:color w:val="000000"/>
          <w:sz w:val="22"/>
        </w:rPr>
        <w:t xml:space="preserve">Educational assistant. </w:t>
      </w:r>
      <w:r>
        <w:rPr>
          <w:rFonts w:ascii="Times New Roman" w:hAnsi="Times New Roman"/>
          <w:b w:val="false"/>
          <w:i w:val="false"/>
          <w:color w:val="000000"/>
          <w:sz w:val="22"/>
        </w:rPr>
        <w:t xml:space="preserve">An educational assistant is defined as an employee who, in the presence or absence of an instructional professional staff member but under the direction, supervision, and control of the instructional professional staff, supervises students or assists in providing instructional and other direct educational services to students and their families. An educational assistant shall not substitute for or replace the functions and duties of a teacher as established in </w:t>
      </w:r>
      <w:hyperlink r:id="rId57">
        <w:r>
          <w:rPr>
            <w:rStyle w:val="Hyperlink"/>
            <w:rFonts w:ascii="Times New Roman" w:hAnsi="Times New Roman"/>
            <w:b w:val="false"/>
            <w:i w:val="false"/>
            <w:color w:val="000000"/>
            <w:sz w:val="22"/>
          </w:rPr>
          <w:t>subrule 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During the initial year of employment, an educational assistant will complete staff development approved by the board as provided in </w:t>
      </w:r>
      <w:hyperlink r:id="rId58">
        <w:r>
          <w:rPr>
            <w:rStyle w:val="Hyperlink"/>
            <w:rFonts w:ascii="Times New Roman" w:hAnsi="Times New Roman"/>
            <w:b w:val="false"/>
            <w:i w:val="false"/>
            <w:color w:val="000000"/>
            <w:sz w:val="22"/>
          </w:rPr>
          <w:t>subrule 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12.4(10)</w:t>
      </w:r>
      <w:r>
        <w:rPr>
          <w:rFonts w:ascii="Times New Roman" w:hAnsi="Times New Roman"/>
          <w:b w:val="false"/>
          <w:i w:val="false"/>
          <w:color w:val="000000"/>
          <w:sz w:val="22"/>
        </w:rPr>
        <w:t> </w:t>
      </w:r>
      <w:r>
        <w:rPr>
          <w:rFonts w:ascii="Times New Roman" w:hAnsi="Times New Roman"/>
          <w:b w:val="false"/>
          <w:i/>
          <w:color w:val="000000"/>
          <w:sz w:val="22"/>
        </w:rPr>
        <w:t xml:space="preserve">Record of license/certificate or statement of professional recognition. </w:t>
      </w:r>
      <w:r>
        <w:rPr>
          <w:rFonts w:ascii="Times New Roman" w:hAnsi="Times New Roman"/>
          <w:b w:val="false"/>
          <w:i w:val="false"/>
          <w:color w:val="000000"/>
          <w:sz w:val="22"/>
        </w:rPr>
        <w:t>The board shall require each administrator, teacher, support service staff member, and noninstructional professional staff member on its staff to supply evidence that each holds a license/certificate or statement of professional recognition that is in force and valid for the type of position in which the individual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Record required regarding teacher and administrative assignments. </w:t>
      </w:r>
      <w:r>
        <w:rPr>
          <w:rFonts w:ascii="Times New Roman" w:hAnsi="Times New Roman"/>
          <w:b w:val="false"/>
          <w:i w:val="false"/>
          <w:color w:val="000000"/>
          <w:sz w:val="22"/>
        </w:rPr>
        <w:t xml:space="preserve">The board shall require its superintendent or other designated administrator to maintain a file for all regularly employed members of the instructional professional staff, including substitute teachers. The file will consist of official licenses/certificates or copies thereof for all members of the instructional professional staff, including substitute teachers, showing that they are eligible for the position in which employed. The official will also maintain on file an official license/certificate or statement of professional recognition as defined in </w:t>
      </w:r>
      <w:hyperlink r:id="rId59">
        <w:r>
          <w:rPr>
            <w:rStyle w:val="Hyperlink"/>
            <w:rFonts w:ascii="Times New Roman" w:hAnsi="Times New Roman"/>
            <w:b w:val="false"/>
            <w:i w:val="false"/>
            <w:color w:val="000000"/>
            <w:sz w:val="22"/>
          </w:rPr>
          <w:t>subrule 12.4(2)</w:t>
        </w:r>
      </w:hyperlink>
      <w:r>
        <w:rPr>
          <w:rFonts w:ascii="Times New Roman" w:hAnsi="Times New Roman"/>
          <w:b w:val="false"/>
          <w:i w:val="false"/>
          <w:color w:val="000000"/>
          <w:sz w:val="22"/>
        </w:rPr>
        <w:t xml:space="preserve"> for each member of the noninstructional professional staff. These records will be on file at the beginning of and throughout each school year and updated annually to reflect all professional growth.</w:t>
      </w:r>
    </w:p>
    <w:p>
      <w:pPr>
        <w:spacing w:before="0" w:after="0"/>
        <w:ind w:left="120"/>
        <w:jc w:val="both"/>
      </w:pPr>
      <w:r>
        <w:rPr>
          <w:rFonts w:ascii="Times New Roman" w:hAnsi="Times New Roman"/>
          <w:b w:val="false"/>
          <w:i w:val="false"/>
          <w:color w:val="000000"/>
          <w:sz w:val="22"/>
        </w:rPr>
        <w:t>On December 1 of each year, the official will verify to the department the licensure/certification and endorsement status of each member of the instructional and administrative staff. This report will be on forms provided by the department and identify all persons holding authorizations and their specific assignment(s) with the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 xml:space="preserve">The board of each school district shall employ a school nurse and require a current license to be filed with the superintendent or other designated administrator as specified in </w:t>
      </w:r>
      <w:hyperlink r:id="rId60">
        <w:r>
          <w:rPr>
            <w:rStyle w:val="Hyperlink"/>
            <w:rFonts w:ascii="Times New Roman" w:hAnsi="Times New Roman"/>
            <w:b w:val="false"/>
            <w:i w:val="false"/>
            <w:color w:val="000000"/>
            <w:sz w:val="22"/>
          </w:rPr>
          <w:t>subrule 12.4(10)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staff. </w:t>
      </w:r>
      <w:r>
        <w:rPr>
          <w:rFonts w:ascii="Times New Roman" w:hAnsi="Times New Roman"/>
          <w:b w:val="false"/>
          <w:i w:val="false"/>
          <w:color w:val="000000"/>
          <w:sz w:val="22"/>
        </w:rPr>
        <w:t xml:space="preserve">Prekindergarten teachers shall hold a license/certificate valid for the prekindergarten level. The board will employ personnel as necessary to provide effective supervision and instruction in the prekindergarten program as referenced in Iowa Code sections </w:t>
      </w:r>
      <w:hyperlink r:id="rId61">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board shall develop and implement procedures for the use of educational support staff to augment classroom instruction and to meet individual student needs. These staff members may be employed by the board or by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A volunteer is defined as an individual who, without compensation or remuneration, provides a supportive role and performs tasks under the direction, supervision, and control of the school or school district staff. A volunteer shall not work as a substitute for or replace the functions and duties of a teacher as established in subrule </w:t>
      </w:r>
      <w:hyperlink r:id="rId63">
        <w:r>
          <w:rPr>
            <w:rStyle w:val="Hyperlink"/>
            <w:rFonts w:ascii="Times New Roman" w:hAnsi="Times New Roman"/>
            <w:b w:val="false"/>
            <w:i w:val="false"/>
            <w:color w:val="000000"/>
            <w:sz w:val="22"/>
          </w:rPr>
          <w:t>12.4(8)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281—12.5</w:t>
      </w:r>
      <w:r>
        <w:rPr>
          <w:rFonts w:ascii="Times New Roman" w:hAnsi="Times New Roman"/>
          <w:b/>
          <w:i w:val="false"/>
          <w:color w:val="000000"/>
          <w:sz w:val="22"/>
        </w:rPr>
        <w:t xml:space="preserve">(256) </w:t>
      </w:r>
      <w:r>
        <w:rPr>
          <w:rFonts w:ascii="Times New Roman" w:hAnsi="Times New Roman"/>
          <w:b/>
          <w:i w:val="false"/>
          <w:color w:val="000000"/>
          <w:sz w:val="22"/>
        </w:rPr>
        <w:t xml:space="preserve">Education program. </w:t>
      </w:r>
      <w:r>
        <w:rPr>
          <w:rFonts w:ascii="Times New Roman" w:hAnsi="Times New Roman"/>
          <w:b w:val="false"/>
          <w:i w:val="false"/>
          <w:color w:val="000000"/>
          <w:sz w:val="22"/>
        </w:rPr>
        <w:t>The following education program standards shall be met by schools and school districts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Iowa Code section </w:t>
      </w:r>
      <w:hyperlink r:id="rId64">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Kindergarten program. </w:t>
      </w:r>
      <w:r>
        <w:rPr>
          <w:rFonts w:ascii="Times New Roman" w:hAnsi="Times New Roman"/>
          <w:b w:val="false"/>
          <w:i w:val="false"/>
          <w:color w:val="000000"/>
          <w:sz w:val="22"/>
        </w:rPr>
        <w:t xml:space="preserve">Iowa Code section </w:t>
      </w:r>
      <w:hyperlink r:id="rId65">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 xml:space="preserve"> is incorporated by this reference. Any classroom serving students at least five years of age by September 15 is considered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Elementary program, grades 1 through 6. </w:t>
      </w:r>
      <w:r>
        <w:rPr>
          <w:rFonts w:ascii="Times New Roman" w:hAnsi="Times New Roman"/>
          <w:b w:val="false"/>
          <w:i w:val="false"/>
          <w:color w:val="000000"/>
          <w:sz w:val="22"/>
        </w:rPr>
        <w:t xml:space="preserve">Iowa Code section </w:t>
      </w:r>
      <w:hyperlink r:id="rId66">
        <w:r>
          <w:rPr>
            <w:rStyle w:val="Hyperlink"/>
            <w:rFonts w:ascii="Times New Roman" w:hAnsi="Times New Roman"/>
            <w:b w:val="false"/>
            <w:i w:val="false"/>
            <w:color w:val="000000"/>
            <w:sz w:val="22"/>
          </w:rPr>
          <w:t>256.11(3)</w:t>
        </w:r>
      </w:hyperlink>
      <w:r>
        <w:rPr>
          <w:rFonts w:ascii="Times New Roman" w:hAnsi="Times New Roman"/>
          <w:b w:val="false"/>
          <w:i w:val="false"/>
          <w:color w:val="000000"/>
          <w:sz w:val="22"/>
        </w:rPr>
        <w:t xml:space="preserve"> is incorporated by this reference. All content areas may be taught by the general education teacher in the teacher’s own classroom. In implementing the elementary program standards, the following general curriculum definitions apply. It is locally determined how to incorporate these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are as referenced in Iowa Code sections </w:t>
      </w:r>
      <w:hyperlink r:id="rId6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6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71">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7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3">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instruction will include movement experiences and body mechanics; fitness activities; rhythmic activities; stunts and tumbling; simple games and relays; sports skills and activities; and water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Traffic safety. </w:t>
      </w:r>
      <w:r>
        <w:rPr>
          <w:rFonts w:ascii="Times New Roman" w:hAnsi="Times New Roman"/>
          <w:b w:val="false"/>
          <w:i w:val="false"/>
          <w:color w:val="000000"/>
          <w:sz w:val="22"/>
        </w:rPr>
        <w:t xml:space="preserve">Traffic safety instruction will include pedestrian safety; bicycle safety; auto passenger safety; school bus passenger safety; seat belt use; substance education; and the application of legal responsibility and risk management to these concepts.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Music instruction will include skills, knowledge, and attitudes and will include singing and playing music; listening to and using music; reading and writing music; recognizing the value of the world’s musical heritage; respecting individual musical aspirations and values; and preparing for consuming, performing, or composing.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Visual art instruction will include perceiving, comprehending, and evaluating the visual world; viewing and understanding the visual arts; developing and communicating imaginative and inventive ideas; and making 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sections </w:t>
      </w:r>
      <w:hyperlink r:id="rId7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75">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is to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Grades 7 and 8. </w:t>
      </w:r>
      <w:r>
        <w:rPr>
          <w:rFonts w:ascii="Times New Roman" w:hAnsi="Times New Roman"/>
          <w:b w:val="false"/>
          <w:i w:val="false"/>
          <w:color w:val="000000"/>
          <w:sz w:val="22"/>
        </w:rPr>
        <w:t xml:space="preserve">The following will be taught in grades 7 and 8 pursuant to Iowa Code section </w:t>
      </w:r>
      <w:hyperlink r:id="rId76">
        <w:r>
          <w:rPr>
            <w:rStyle w:val="Hyperlink"/>
            <w:rFonts w:ascii="Times New Roman" w:hAnsi="Times New Roman"/>
            <w:b w:val="false"/>
            <w:i w:val="false"/>
            <w:color w:val="000000"/>
            <w:sz w:val="22"/>
          </w:rPr>
          <w:t>256.11(4)</w:t>
        </w:r>
      </w:hyperlink>
      <w:r>
        <w:rPr>
          <w:rFonts w:ascii="Times New Roman" w:hAnsi="Times New Roman"/>
          <w:b w:val="false"/>
          <w:i w:val="false"/>
          <w:color w:val="000000"/>
          <w:sz w:val="22"/>
        </w:rPr>
        <w:t>. If grade 6 is configured with grades 7 and 8, the grade 7 and 8 requirements apply. It is a local decision whether all students are required to take visual arts or music. In implementing the grade 7 and 8 program standards, the following general curriculum definitions apply.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instruction is as referenced in Iowa Code section </w:t>
      </w:r>
      <w:hyperlink r:id="rId7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7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9">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8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8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82">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will include the physical fitness activities that increase cardiovascular endurance, muscular strength, and flexibility; sports and games; tumbling and gymnastics; rhythms and dance; water safety; and leisure and lifetime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 xml:space="preserve">Paragraph </w:t>
      </w:r>
      <w:hyperlink r:id="rId83">
        <w:r>
          <w:rPr>
            <w:rStyle w:val="Hyperlink"/>
            <w:rFonts w:ascii="Times New Roman" w:hAnsi="Times New Roman"/>
            <w:b w:val="false"/>
            <w:i w:val="false"/>
            <w:color w:val="000000"/>
            <w:sz w:val="22"/>
          </w:rPr>
          <w:t>12.5(3)</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applies, with the addition of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Paragraph </w:t>
      </w:r>
      <w:hyperlink r:id="rId84">
        <w:r>
          <w:rPr>
            <w:rStyle w:val="Hyperlink"/>
            <w:rFonts w:ascii="Times New Roman" w:hAnsi="Times New Roman"/>
            <w:b w:val="false"/>
            <w:i w:val="false"/>
            <w:color w:val="000000"/>
            <w:sz w:val="22"/>
          </w:rPr>
          <w:t>12.5(3)</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applies, with the addition of using visual arts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Career education instruction will include exploration of employment opportunities, experiences in career decision making, and experiences to help students integrate work values and work skills into their lives. This paragraph does not apply to nonpublic schools. However, nonpublic schools will comply with subrule </w:t>
      </w:r>
      <w:hyperlink r:id="rId85">
        <w:r>
          <w:rPr>
            <w:rStyle w:val="Hyperlink"/>
            <w:rFonts w:ascii="Times New Roman" w:hAnsi="Times New Roman"/>
            <w:b w:val="false"/>
            <w:i w:val="false"/>
            <w:color w:val="000000"/>
            <w:sz w:val="22"/>
          </w:rPr>
          <w:t>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 </w:t>
      </w:r>
      <w:hyperlink r:id="rId86">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(4) will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Secondary credit. </w:t>
      </w:r>
      <w:r>
        <w:rPr>
          <w:rFonts w:ascii="Times New Roman" w:hAnsi="Times New Roman"/>
          <w:b w:val="false"/>
          <w:i w:val="false"/>
          <w:color w:val="000000"/>
          <w:sz w:val="22"/>
        </w:rPr>
        <w:t xml:space="preserve">Secondary credit will be awarded as referenced in Iowa Code section </w:t>
      </w:r>
      <w:hyperlink r:id="rId87">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High school program, grades 9 through 12. </w:t>
      </w:r>
      <w:r>
        <w:rPr>
          <w:rFonts w:ascii="Times New Roman" w:hAnsi="Times New Roman"/>
          <w:b w:val="false"/>
          <w:i w:val="false"/>
          <w:color w:val="000000"/>
          <w:sz w:val="22"/>
        </w:rPr>
        <w:t xml:space="preserve">In grades 9 through 12, a unit is a course or equivalent related components or partial units taught throughout the academic year as defined in subrule </w:t>
      </w:r>
      <w:hyperlink r:id="rId88">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The following will be offered and taught as the minimum program as referenced in Iowa Code section </w:t>
      </w:r>
      <w:hyperlink r:id="rId89">
        <w:r>
          <w:rPr>
            <w:rStyle w:val="Hyperlink"/>
            <w:rFonts w:ascii="Times New Roman" w:hAnsi="Times New Roman"/>
            <w:b w:val="false"/>
            <w:i w:val="false"/>
            <w:color w:val="000000"/>
            <w:sz w:val="22"/>
          </w:rPr>
          <w:t>256.11(5)</w:t>
        </w:r>
      </w:hyperlink>
      <w:r>
        <w:rPr>
          <w:rFonts w:ascii="Times New Roman" w:hAnsi="Times New Roman"/>
          <w:b w:val="false"/>
          <w:i w:val="false"/>
          <w:color w:val="000000"/>
          <w:sz w:val="22"/>
        </w:rPr>
        <w:t xml:space="preserve">. All students in schools and school districts shall satisfactorily complete requirements as referenced in Iowa Code sections </w:t>
      </w:r>
      <w:hyperlink r:id="rId90">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256.11(6)</w:t>
        </w:r>
      </w:hyperlink>
      <w:r>
        <w:rPr>
          <w:rFonts w:ascii="Times New Roman" w:hAnsi="Times New Roman"/>
          <w:b w:val="false"/>
          <w:i/>
          <w:color w:val="000000"/>
          <w:sz w:val="22"/>
        </w:rPr>
        <w:t>“c”</w:t>
      </w:r>
      <w:r>
        <w:rPr>
          <w:rFonts w:ascii="Times New Roman" w:hAnsi="Times New Roman"/>
          <w:b w:val="false"/>
          <w:i w:val="false"/>
          <w:color w:val="000000"/>
          <w:sz w:val="22"/>
        </w:rPr>
        <w:t xml:space="preserve"> in order to graduate.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In implementing the high school program standards, the following curriculum standards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(six units). </w:t>
      </w:r>
      <w:r>
        <w:rPr>
          <w:rFonts w:ascii="Times New Roman" w:hAnsi="Times New Roman"/>
          <w:b w:val="false"/>
          <w:i w:val="false"/>
          <w:color w:val="000000"/>
          <w:sz w:val="22"/>
        </w:rPr>
        <w:t xml:space="preserve">English-language arts instruction is as referenced in Iowa Code section </w:t>
      </w:r>
      <w:hyperlink r:id="rId93">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(five units). </w:t>
      </w:r>
      <w:r>
        <w:rPr>
          <w:rFonts w:ascii="Times New Roman" w:hAnsi="Times New Roman"/>
          <w:b w:val="false"/>
          <w:i w:val="false"/>
          <w:color w:val="000000"/>
          <w:sz w:val="22"/>
        </w:rPr>
        <w:t xml:space="preserve">Social studies is as referenced in Iowa Code sections </w:t>
      </w:r>
      <w:hyperlink r:id="rId9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5">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280.9A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(six units). </w:t>
      </w:r>
      <w:r>
        <w:rPr>
          <w:rFonts w:ascii="Times New Roman" w:hAnsi="Times New Roman"/>
          <w:b w:val="false"/>
          <w:i w:val="false"/>
          <w:color w:val="000000"/>
          <w:sz w:val="22"/>
        </w:rPr>
        <w:t xml:space="preserve">Mathematics instruction is as referenced in Iowa Code sections </w:t>
      </w:r>
      <w:hyperlink r:id="rId9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sequential units that are preparatory to postsecondary educational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Two additional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(five units). </w:t>
      </w:r>
      <w:r>
        <w:rPr>
          <w:rFonts w:ascii="Times New Roman" w:hAnsi="Times New Roman"/>
          <w:b w:val="false"/>
          <w:i w:val="false"/>
          <w:color w:val="000000"/>
          <w:sz w:val="22"/>
        </w:rPr>
        <w:t xml:space="preserve">Science instruction is as referenced in Iowa Code sections </w:t>
      </w:r>
      <w:hyperlink r:id="rId99">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(one unit). </w:t>
      </w:r>
      <w:r>
        <w:rPr>
          <w:rFonts w:ascii="Times New Roman" w:hAnsi="Times New Roman"/>
          <w:b w:val="false"/>
          <w:i w:val="false"/>
          <w:color w:val="000000"/>
          <w:sz w:val="22"/>
        </w:rPr>
        <w:t xml:space="preserve">Health instruction is as referenced in Iowa Code sections </w:t>
      </w:r>
      <w:hyperlink r:id="rId10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102">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(one unit). </w:t>
      </w:r>
      <w:r>
        <w:rPr>
          <w:rFonts w:ascii="Times New Roman" w:hAnsi="Times New Roman"/>
          <w:b w:val="false"/>
          <w:i w:val="false"/>
          <w:color w:val="000000"/>
          <w:sz w:val="22"/>
        </w:rPr>
        <w:t xml:space="preserve">Physical education, as well as any exemption or excusal, is as referenced in Iowa Code sections </w:t>
      </w:r>
      <w:hyperlink r:id="rId104">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Fine arts (two units). </w:t>
      </w:r>
      <w:r>
        <w:rPr>
          <w:rFonts w:ascii="Times New Roman" w:hAnsi="Times New Roman"/>
          <w:b w:val="false"/>
          <w:i w:val="false"/>
          <w:color w:val="000000"/>
          <w:sz w:val="22"/>
        </w:rPr>
        <w:t>Fine arts instruction will include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Dance. Dance instruction encompasses developing basic movement skills, elementary movement concepts, study of dance forms and dance heritage, participating in dance, evaluating dance as a creative art, and using dance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Music. Music instruction include skills, knowledge, and attitudes and the singing and playing of music; listening to and using music; reading and writing music; recognizing the value of the world’s musical heritage; respecting individual musical aspirations and values; preparing for consuming, performing, or composing; and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Theatre. Theatre instruction encompasses developing the internal and external resources used in the theatre process; creating theatre through artistic collaboration; relating theatre to its social context; forming aesthetic judgments; and using theatre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art. Visual art instruction includes developing concepts and values about natural and created environments; critiquing works of art; evaluating relationships between art and societies; analyzing, abstracting, and synthesizing visual forms to express ideas; making art; and using visual art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World language (two units). </w:t>
      </w:r>
      <w:r>
        <w:rPr>
          <w:rFonts w:ascii="Times New Roman" w:hAnsi="Times New Roman"/>
          <w:b w:val="false"/>
          <w:i w:val="false"/>
          <w:color w:val="000000"/>
          <w:sz w:val="22"/>
        </w:rPr>
        <w:t>The world language program will be a two-unit sequence of uninterrupted study in at least one language, which may include American Sign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service areas—school districts (three units each in at least four of the six service areas). </w:t>
      </w:r>
      <w:r>
        <w:rPr>
          <w:rFonts w:ascii="Times New Roman" w:hAnsi="Times New Roman"/>
          <w:b w:val="false"/>
          <w:i w:val="false"/>
          <w:color w:val="000000"/>
          <w:sz w:val="22"/>
        </w:rPr>
        <w:t xml:space="preserve">A minimum of three sequential units, of which only one may be a core unit, will be taught in four of the six service areas as referenced by Iowa Code section </w:t>
      </w:r>
      <w:hyperlink r:id="rId106">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Code chapter </w:t>
      </w:r>
      <w:hyperlink r:id="rId10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2; and </w:t>
      </w:r>
      <w:hyperlink r:id="rId108">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education/nonpublic schools (five units). </w:t>
      </w:r>
      <w:r>
        <w:rPr>
          <w:rFonts w:ascii="Times New Roman" w:hAnsi="Times New Roman"/>
          <w:b w:val="false"/>
          <w:i w:val="false"/>
          <w:color w:val="000000"/>
          <w:sz w:val="22"/>
        </w:rPr>
        <w:t xml:space="preserve">A nonpublic school that provides an educational program that includes grades 9 through 12 will comply with Iowa Code section </w:t>
      </w:r>
      <w:hyperlink r:id="rId109">
        <w:r>
          <w:rPr>
            <w:rStyle w:val="Hyperlink"/>
            <w:rFonts w:ascii="Times New Roman" w:hAnsi="Times New Roman"/>
            <w:b w:val="false"/>
            <w:i w:val="false"/>
            <w:color w:val="000000"/>
            <w:sz w:val="22"/>
          </w:rPr>
          <w:t>256.11B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Personal finance literacy (one-half unit). </w:t>
      </w:r>
      <w:r>
        <w:rPr>
          <w:rFonts w:ascii="Times New Roman" w:hAnsi="Times New Roman"/>
          <w:b w:val="false"/>
          <w:i w:val="false"/>
          <w:color w:val="000000"/>
          <w:sz w:val="22"/>
        </w:rPr>
        <w:t xml:space="preserve">Iowa Code section </w:t>
      </w:r>
      <w:hyperlink r:id="rId110">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“k”</w:t>
      </w:r>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(one-half unit). </w:t>
      </w:r>
      <w:r>
        <w:rPr>
          <w:rFonts w:ascii="Times New Roman" w:hAnsi="Times New Roman"/>
          <w:b w:val="false"/>
          <w:i w:val="false"/>
          <w:color w:val="000000"/>
          <w:sz w:val="22"/>
        </w:rPr>
        <w:t xml:space="preserve">Iowa Code section </w:t>
      </w:r>
      <w:hyperlink r:id="rId11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is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physical education course, health course, physical activity, or cardiopulmonary resuscitation course completion. </w:t>
      </w:r>
      <w:r>
        <w:rPr>
          <w:rFonts w:ascii="Times New Roman" w:hAnsi="Times New Roman"/>
          <w:b w:val="false"/>
          <w:i w:val="false"/>
          <w:color w:val="000000"/>
          <w:sz w:val="22"/>
        </w:rPr>
        <w:t xml:space="preserve">Exemptions from these activities are governed by Iowa Code section </w:t>
      </w:r>
      <w:hyperlink r:id="rId112">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Iowa Code sections </w:t>
      </w:r>
      <w:hyperlink r:id="rId114">
        <w:r>
          <w:rPr>
            <w:rStyle w:val="Hyperlink"/>
            <w:rFonts w:ascii="Times New Roman" w:hAnsi="Times New Roman"/>
            <w:b w:val="false"/>
            <w:i w:val="false"/>
            <w:color w:val="000000"/>
            <w:sz w:val="22"/>
          </w:rPr>
          <w:t>256.9(42)</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280.9</w:t>
        </w:r>
      </w:hyperlink>
      <w:r>
        <w:rPr>
          <w:rFonts w:ascii="Times New Roman" w:hAnsi="Times New Roman"/>
          <w:b w:val="false"/>
          <w:i w:val="false"/>
          <w:color w:val="000000"/>
          <w:sz w:val="22"/>
        </w:rPr>
        <w:t xml:space="preserve">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Age-appropriate, multicultural and gender-fair approaches to the educational program. </w:t>
      </w:r>
      <w:r>
        <w:rPr>
          <w:rFonts w:ascii="Times New Roman" w:hAnsi="Times New Roman"/>
          <w:b w:val="false"/>
          <w:i w:val="false"/>
          <w:color w:val="000000"/>
          <w:sz w:val="22"/>
        </w:rPr>
        <w:t xml:space="preserve">Iowa Code section </w:t>
      </w:r>
      <w:hyperlink r:id="rId117">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an age-appropriate, multicultural, and gender-fair program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The board of each school district shall provide special education programs and services for its resident children that comply with rules of the state board of education implementing Iowa Code chapters </w:t>
      </w:r>
      <w:hyperlink r:id="rId1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w:t>
      </w:r>
      <w:r>
        <w:rPr>
          <w:rFonts w:ascii="Times New Roman" w:hAnsi="Times New Roman"/>
          <w:b w:val="false"/>
          <w:i w:val="false"/>
          <w:color w:val="000000"/>
          <w:sz w:val="22"/>
        </w:rPr>
        <w:t> </w:t>
      </w:r>
      <w:r>
        <w:rPr>
          <w:rFonts w:ascii="Times New Roman" w:hAnsi="Times New Roman"/>
          <w:b w:val="false"/>
          <w:i/>
          <w:color w:val="000000"/>
          <w:sz w:val="22"/>
        </w:rPr>
        <w:t xml:space="preserve">Global education. </w:t>
      </w:r>
      <w:r>
        <w:rPr>
          <w:rFonts w:ascii="Times New Roman" w:hAnsi="Times New Roman"/>
          <w:b w:val="false"/>
          <w:i w:val="false"/>
          <w:color w:val="000000"/>
          <w:sz w:val="22"/>
        </w:rPr>
        <w:t xml:space="preserve">Iowa Code section </w:t>
      </w:r>
      <w:hyperlink r:id="rId122">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 global education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Provisions for gifted and talented students. </w:t>
      </w:r>
      <w:r>
        <w:rPr>
          <w:rFonts w:ascii="Times New Roman" w:hAnsi="Times New Roman"/>
          <w:b w:val="false"/>
          <w:i w:val="false"/>
          <w:color w:val="000000"/>
          <w:sz w:val="22"/>
        </w:rPr>
        <w:t xml:space="preserve">Iowa Code sections </w:t>
      </w:r>
      <w:hyperlink r:id="rId123">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Provisions for at-risk students. </w:t>
      </w:r>
      <w:r>
        <w:rPr>
          <w:rFonts w:ascii="Times New Roman" w:hAnsi="Times New Roman"/>
          <w:b w:val="false"/>
          <w:i w:val="false"/>
          <w:color w:val="000000"/>
          <w:sz w:val="22"/>
        </w:rPr>
        <w:t xml:space="preserve">Iowa Code sections </w:t>
      </w:r>
      <w:hyperlink r:id="rId124">
        <w:r>
          <w:rPr>
            <w:rStyle w:val="Hyperlink"/>
            <w:rFonts w:ascii="Times New Roman" w:hAnsi="Times New Roman"/>
            <w:b w:val="false"/>
            <w:i w:val="false"/>
            <w:color w:val="000000"/>
            <w:sz w:val="22"/>
          </w:rPr>
          <w:t>280.19</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280.19A</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A unit is a course that meets one of the following criteria: it is taught for at least 200 minutes per week for 36 weeks; it is taught for the equivalent of 120 hours of instruction; it requires the demonstration of proficiency of formal competencies associated with the course according to the State Guidelines for Competency-Based Education or its successor organization, as effective on February 7, 2024; or it is an equated requirement as a part of a flexible student and school support program filed as prescribed in rule </w:t>
      </w:r>
      <w:hyperlink r:id="rId126">
        <w:r>
          <w:rPr>
            <w:rStyle w:val="Hyperlink"/>
            <w:rFonts w:ascii="Times New Roman" w:hAnsi="Times New Roman"/>
            <w:b w:val="false"/>
            <w:i w:val="false"/>
            <w:color w:val="000000"/>
            <w:sz w:val="22"/>
          </w:rPr>
          <w:t>281—12.9</w:t>
        </w:r>
      </w:hyperlink>
      <w:r>
        <w:rPr>
          <w:rFonts w:ascii="Times New Roman" w:hAnsi="Times New Roman"/>
          <w:b w:val="false"/>
          <w:i w:val="false"/>
          <w:color w:val="000000"/>
          <w:sz w:val="22"/>
        </w:rPr>
        <w:t xml:space="preserve">(256). A fractional unit will be calculated in a manner consistent with this subrule. Unless the method of instruction is competency-based, multiple-section courses taught at the same time in a single classroom situation by one teacher do not meet this unit definition for the assignment of a unit of credit, unless otherwise provided by Iowa Code section </w:t>
      </w:r>
      <w:hyperlink r:id="rId127">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A student shall receive a credit or a partial credit upon successful completion of a course that meets one of the criteria in </w:t>
      </w:r>
      <w:hyperlink r:id="rId128">
        <w:r>
          <w:rPr>
            <w:rStyle w:val="Hyperlink"/>
            <w:rFonts w:ascii="Times New Roman" w:hAnsi="Times New Roman"/>
            <w:b w:val="false"/>
            <w:i w:val="false"/>
            <w:color w:val="000000"/>
            <w:sz w:val="22"/>
          </w:rPr>
          <w:t>subrule 12.5(13)</w:t>
        </w:r>
      </w:hyperlink>
      <w:r>
        <w:rPr>
          <w:rFonts w:ascii="Times New Roman" w:hAnsi="Times New Roman"/>
          <w:b w:val="false"/>
          <w:i w:val="false"/>
          <w:color w:val="000000"/>
          <w:sz w:val="22"/>
        </w:rPr>
        <w:t>. The board may award high school credit to a student who demonstrates required competencies for a course or content area in accordance with assessment methods approved by the local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Subject offering. </w:t>
      </w:r>
      <w:r>
        <w:rPr>
          <w:rFonts w:ascii="Times New Roman" w:hAnsi="Times New Roman"/>
          <w:b w:val="false"/>
          <w:i w:val="false"/>
          <w:color w:val="000000"/>
          <w:sz w:val="22"/>
        </w:rPr>
        <w:t xml:space="preserve">Except as provided for under </w:t>
      </w:r>
      <w:hyperlink r:id="rId129">
        <w:r>
          <w:rPr>
            <w:rStyle w:val="Hyperlink"/>
            <w:rFonts w:ascii="Times New Roman" w:hAnsi="Times New Roman"/>
            <w:b w:val="false"/>
            <w:i w:val="false"/>
            <w:color w:val="000000"/>
            <w:sz w:val="22"/>
          </w:rPr>
          <w:t>subrule 12.5(20)</w:t>
        </w:r>
      </w:hyperlink>
      <w:r>
        <w:rPr>
          <w:rFonts w:ascii="Times New Roman" w:hAnsi="Times New Roman"/>
          <w:b w:val="false"/>
          <w:i w:val="false"/>
          <w:color w:val="000000"/>
          <w:sz w:val="22"/>
        </w:rPr>
        <w:t xml:space="preserve">, a subject is regarded as offered when the teacher of the subject has met the licensure and endorsement standards of the state board of educational examiners for that subject; instructional materials and facilities for that subject have been provided; and students have been informed, based on their aptitudes, interests, and abilities, about possible value of the subject. A subject is regarded as taught only when students are instructed in it in accordance with all applicable requirements outlined herein. Subjects that the law requires schools and school districts to offer and teach shall be made available during the school day as defined in subrules </w:t>
      </w:r>
      <w:hyperlink r:id="rId130">
        <w:r>
          <w:rPr>
            <w:rStyle w:val="Hyperlink"/>
            <w:rFonts w:ascii="Times New Roman" w:hAnsi="Times New Roman"/>
            <w:b w:val="false"/>
            <w:i w:val="false"/>
            <w:color w:val="000000"/>
            <w:sz w:val="22"/>
          </w:rPr>
          <w:t>12.1(8) to 12.1(10)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Twenty-first century learning skills are as referenced in Iowa Code section </w:t>
      </w:r>
      <w:hyperlink r:id="rId13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program. </w:t>
      </w:r>
      <w:r>
        <w:rPr>
          <w:rFonts w:ascii="Times New Roman" w:hAnsi="Times New Roman"/>
          <w:b w:val="false"/>
          <w:i w:val="false"/>
          <w:color w:val="000000"/>
          <w:sz w:val="22"/>
        </w:rPr>
        <w:t xml:space="preserve">Iowa Code section </w:t>
      </w:r>
      <w:hyperlink r:id="rId132">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(8)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12.5(18)</w:t>
      </w:r>
      <w:r>
        <w:rPr>
          <w:rFonts w:ascii="Times New Roman" w:hAnsi="Times New Roman"/>
          <w:b w:val="false"/>
          <w:i w:val="false"/>
          <w:color w:val="000000"/>
          <w:sz w:val="22"/>
        </w:rPr>
        <w:t> </w:t>
      </w:r>
      <w:r>
        <w:rPr>
          <w:rFonts w:ascii="Times New Roman" w:hAnsi="Times New Roman"/>
          <w:b w:val="false"/>
          <w:i/>
          <w:color w:val="000000"/>
          <w:sz w:val="22"/>
        </w:rPr>
        <w:t xml:space="preserve">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33">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are incorporated by this reference. In no event may a school or school district reduce the regular instructional time, as defined by “unit” in subrule </w:t>
      </w:r>
      <w:hyperlink r:id="rId13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for any pupil to enable the pupil to meet the physical activity requirement. However, this requirement may be met by physical education classes, activities at recess or during class time, and before- or after-school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and school districts must provide documentation that pupils are being provided with the support to complete the physical activity requirement. This documentation may be provided through printed schedules, district policies, student handbooks, and similar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12.5(19)</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course completion. </w:t>
      </w:r>
      <w:r>
        <w:rPr>
          <w:rFonts w:ascii="Times New Roman" w:hAnsi="Times New Roman"/>
          <w:b w:val="false"/>
          <w:i w:val="false"/>
          <w:color w:val="000000"/>
          <w:sz w:val="22"/>
        </w:rPr>
        <w:t xml:space="preserve">Cardiopulmonary resuscitation course completion requirements are as referenced in Iowa Code section </w:t>
      </w:r>
      <w:hyperlink r:id="rId136">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12.5(20)</w:t>
      </w:r>
      <w:r>
        <w:rPr>
          <w:rFonts w:ascii="Times New Roman" w:hAnsi="Times New Roman"/>
          <w:b w:val="false"/>
          <w:i w:val="false"/>
          <w:color w:val="000000"/>
          <w:sz w:val="22"/>
        </w:rPr>
        <w:t> </w:t>
      </w:r>
      <w:r>
        <w:rPr>
          <w:rFonts w:ascii="Times New Roman" w:hAnsi="Times New Roman"/>
          <w:b w:val="false"/>
          <w:i/>
          <w:color w:val="000000"/>
          <w:sz w:val="22"/>
        </w:rPr>
        <w:t xml:space="preserve">Contracted courses used to meet school or school district requirements. </w:t>
      </w:r>
      <w:r>
        <w:rPr>
          <w:rFonts w:ascii="Times New Roman" w:hAnsi="Times New Roman"/>
          <w:b w:val="false"/>
          <w:i w:val="false"/>
          <w:color w:val="000000"/>
          <w:sz w:val="22"/>
        </w:rPr>
        <w:t xml:space="preserve">Contracted courses used to meet school or school district requirements are as referenced in Iowa Code section </w:t>
      </w:r>
      <w:hyperlink r:id="rId137">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281—12.6</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The following standards apply to the activity program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Each board will sponsor a pupil activity program sufficiently broad and balanced to offer opportunities for all pupils to participate. The program will be supervised by qualified professional staff and designed to meet the needs and interests and challenge the abilities of all pupils consistent with their individual stages of development; contribute to the physical, mental, athletic, civic, social, moral, and emotional growth of all pupils; offer opportunities for both individual and group activities; be integrated with the instructional program; and provide balance so a limited number of activities will not be perpetuated at the expense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Supervised intramural sports. </w:t>
      </w:r>
      <w:r>
        <w:rPr>
          <w:rFonts w:ascii="Times New Roman" w:hAnsi="Times New Roman"/>
          <w:b w:val="false"/>
          <w:i w:val="false"/>
          <w:color w:val="000000"/>
          <w:sz w:val="22"/>
        </w:rPr>
        <w:t>If the board sponsors a voluntary program of supervised intramural sports for pupils in grades 7 through 12, qualified personnel and adequate facilities, equipment, and supplies will be provided. Middle school grades below grade 7 may also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281—12.7</w:t>
      </w:r>
      <w:r>
        <w:rPr>
          <w:rFonts w:ascii="Times New Roman" w:hAnsi="Times New Roman"/>
          <w:b/>
          <w:i w:val="false"/>
          <w:color w:val="000000"/>
          <w:sz w:val="22"/>
        </w:rPr>
        <w:t xml:space="preserve">(256,284,284A)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set forth in the following Iowa Code sections apply to staff development for accredited schools and school districts: Iowa Code sections </w:t>
      </w:r>
      <w:hyperlink r:id="rId138">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256.7(25)</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256.9(47)</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256.9(49)</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256.9(62)</w:t>
        </w:r>
      </w:hyperlink>
      <w:r>
        <w:rPr>
          <w:rFonts w:ascii="Times New Roman" w:hAnsi="Times New Roman"/>
          <w:b w:val="false"/>
          <w:i w:val="false"/>
          <w:color w:val="000000"/>
          <w:sz w:val="22"/>
        </w:rPr>
        <w:t xml:space="preserve"> and chapter </w:t>
      </w:r>
      <w:hyperlink r:id="rId143">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professional needs of all staff, professional development activities will align with district goals; will be based on student and staff information; will prepare all employees to work effectively with diverse learners and to implement age-appropriate, multicultural, gender-fair approaches to the educational program; and will adhere to the professional development standards in </w:t>
      </w:r>
      <w:hyperlink r:id="rId144">
        <w:r>
          <w:rPr>
            <w:rStyle w:val="Hyperlink"/>
            <w:rFonts w:ascii="Times New Roman" w:hAnsi="Times New Roman"/>
            <w:b w:val="false"/>
            <w:i w:val="false"/>
            <w:color w:val="000000"/>
            <w:sz w:val="22"/>
          </w:rPr>
          <w:t>281—paragraph 83.6(2)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realize increased student achievement, learning, and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281—12.8</w:t>
      </w:r>
      <w:r>
        <w:rPr>
          <w:rFonts w:ascii="Times New Roman" w:hAnsi="Times New Roman"/>
          <w:b/>
          <w:i w:val="false"/>
          <w:color w:val="000000"/>
          <w:sz w:val="22"/>
        </w:rPr>
        <w:t xml:space="preserve">(256) </w:t>
      </w:r>
      <w:r>
        <w:rPr>
          <w:rFonts w:ascii="Times New Roman" w:hAnsi="Times New Roman"/>
          <w:b/>
          <w:i w:val="false"/>
          <w:color w:val="000000"/>
          <w:sz w:val="22"/>
        </w:rPr>
        <w:t xml:space="preserve">Accountability for student achievement. </w:t>
      </w:r>
      <w:r>
        <w:rPr>
          <w:rFonts w:ascii="Times New Roman" w:hAnsi="Times New Roman"/>
          <w:b w:val="false"/>
          <w:i w:val="false"/>
          <w:color w:val="000000"/>
          <w:sz w:val="22"/>
        </w:rPr>
        <w:t xml:space="preserve">Schools and school districts shall meet the following accountability provisions for increased student achievement. Area education agencies will provide technical assistance as required by </w:t>
      </w:r>
      <w:hyperlink r:id="rId145">
        <w:r>
          <w:rPr>
            <w:rStyle w:val="Hyperlink"/>
            <w:rFonts w:ascii="Times New Roman" w:hAnsi="Times New Roman"/>
            <w:b w:val="false"/>
            <w:i w:val="false"/>
            <w:color w:val="000000"/>
            <w:sz w:val="22"/>
          </w:rPr>
          <w:t>281—subrule 72.4(7)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Each school and school district will establish a school improvement advisory committee that is governed by Iowa Code section </w:t>
      </w:r>
      <w:hyperlink r:id="rId146">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involvement.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community. The school or school district will involve the local community in decision-making processes as appropriate. The school or school district will seek input from the local community about, but not limited to, the following elements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philosophy, beliefs, mission, or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improvement advisory committee. To meet provisions of Iowa Code section </w:t>
      </w:r>
      <w:hyperlink r:id="rId147">
        <w:r>
          <w:rPr>
            <w:rStyle w:val="Hyperlink"/>
            <w:rFonts w:ascii="Times New Roman" w:hAnsi="Times New Roman"/>
            <w:b w:val="false"/>
            <w:i w:val="false"/>
            <w:color w:val="000000"/>
            <w:sz w:val="22"/>
          </w:rPr>
          <w:t>280.12(2)</w:t>
        </w:r>
      </w:hyperlink>
      <w:r>
        <w:rPr>
          <w:rFonts w:ascii="Times New Roman" w:hAnsi="Times New Roman"/>
          <w:b w:val="false"/>
          <w:i w:val="false"/>
          <w:color w:val="000000"/>
          <w:sz w:val="22"/>
        </w:rPr>
        <w:t>, the board will appoint and charge a school improvement advisory committee to make recommendations to the board. Based on the committee members’ analysis of the needs assessment data, the committee will make recommendations to the board about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that include, but are not limited to, the state indicators that address reading, mathematics, and science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Harassment or bullying prevention goals, programs, training, and other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school improvement advisory committee will also make recommendations to the board with regard to,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achieved with the annual improvement goals for the state indicators that address reading, mathematics, and science in </w:t>
      </w:r>
      <w:hyperlink r:id="rId148">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achieved with other locally determined core indicators;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for the state indicators that address reading, mathematics, and science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analysis, and goal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The board will adopt a policy for conducting ongoing and long-range needs assessment processes. This policy will ensure involvement of and communication with the local community regarding its expectations for adequate preparation for all students as responsible citizens and successful wage earners. The policy will include provisions for keeping the local community regularly informed of progress on state indicators as described in </w:t>
      </w:r>
      <w:hyperlink r:id="rId149">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other locally determined indicators and the methods a school district will use to inform kindergarten through grade 3 parents of their individual child’s performance biannually. The policy will describe how the school or school district will provide opportunities for local community feedback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Long-range data collection and analysis. The long-range needs assessment process is to include provisions for collecting, analyzing, and reporting information derived from local, state, and national sources. The process will include provisions for reviewing information acquired over time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established student learning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data collection required by federal and state programs.</w:t>
      </w:r>
    </w:p>
    <w:p>
      <w:pPr>
        <w:spacing w:before="0" w:after="0"/>
        <w:ind w:left="120"/>
        <w:jc w:val="both"/>
      </w:pPr>
      <w:r>
        <w:rPr>
          <w:rFonts w:ascii="Times New Roman" w:hAnsi="Times New Roman"/>
          <w:b w:val="false"/>
          <w:i w:val="false"/>
          <w:color w:val="000000"/>
          <w:sz w:val="22"/>
        </w:rPr>
        <w:t>Schools and school districts are to also collect information about additional factors influencing student achievement that may include, but are not limited to, demographics, attitudes, health, and other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The board, with input from its school improvement advisory committee, will adopt long-range goals to improve student achievement in at least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data collection and analysis. The ongoing needs assessment process will include provisions for collecting and analyzing annual assessment data on the state indicators, other locally determined indicators, and locally established 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subgroups of students, or both. Annual improvement goals may be set for the early intervention program as described in </w:t>
      </w:r>
      <w:hyperlink r:id="rId150">
        <w:r>
          <w:rPr>
            <w:rStyle w:val="Hyperlink"/>
            <w:rFonts w:ascii="Times New Roman" w:hAnsi="Times New Roman"/>
            <w:b w:val="false"/>
            <w:i w:val="false"/>
            <w:color w:val="000000"/>
            <w:sz w:val="22"/>
          </w:rPr>
          <w:t>subrule 12.5(18)</w:t>
        </w:r>
      </w:hyperlink>
      <w:r>
        <w:rPr>
          <w:rFonts w:ascii="Times New Roman" w:hAnsi="Times New Roman"/>
          <w:b w:val="false"/>
          <w:i w:val="false"/>
          <w:color w:val="000000"/>
          <w:sz w:val="22"/>
        </w:rPr>
        <w:t>, other state indicators, locally determined indicators, locally established student learning goals, other curriculum areas, future student employability, or factors influencing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standards and benchmarks.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The board will adopt a policy outlining its procedures for developing, implementing, and evaluating its total curriculum. The policy will describe a process for establishing content standards, benchmarks, performance levels, and annual improvement goals aligned with needs assessment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standards and benchmarks. The board will adopt clear, rigorous, and challenging content standards and benchmarks in reading, mathematics, and science to guide the learning of students from the date of school entrance until high school graduation. Included in the local standards and benchmarks are the core content standards from Iowa’s approved standards and assessment system under the applicable provisions of the federal Elementary and Secondary Education Act, as effective on February 7, 2024. Standards and benchmarks may be adopted for other curriculum areas defined in rule </w:t>
      </w:r>
      <w:hyperlink r:id="rId151">
        <w:r>
          <w:rPr>
            <w:rStyle w:val="Hyperlink"/>
            <w:rFonts w:ascii="Times New Roman" w:hAnsi="Times New Roman"/>
            <w:b w:val="false"/>
            <w:i w:val="false"/>
            <w:color w:val="000000"/>
            <w:sz w:val="22"/>
          </w:rPr>
          <w:t>281—12.5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Determination and implementation of actions to meet the needs. </w:t>
      </w:r>
      <w:r>
        <w:rPr>
          <w:rFonts w:ascii="Times New Roman" w:hAnsi="Times New Roman"/>
          <w:b w:val="false"/>
          <w:i w:val="false"/>
          <w:color w:val="000000"/>
          <w:sz w:val="22"/>
        </w:rPr>
        <w:t xml:space="preserve">The school or school district will specify actions it will take in order to accomplish its long-range and annual improvement goals as established in Iowa Code section </w:t>
      </w:r>
      <w:hyperlink r:id="rId152">
        <w:r>
          <w:rPr>
            <w:rStyle w:val="Hyperlink"/>
            <w:rFonts w:ascii="Times New Roman" w:hAnsi="Times New Roman"/>
            <w:b w:val="false"/>
            <w:i w:val="false"/>
            <w:color w:val="000000"/>
            <w:sz w:val="22"/>
          </w:rPr>
          <w:t>280.12(1)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will include addressing the improvement of curricular and instructional practices to attain the long-range goals, annual improvement goals, and the early intervention goals as described in subrule </w:t>
      </w:r>
      <w:hyperlink r:id="rId153">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will document consolidation of state and federal resources and requirements. State and federal resources will be used, as applicable, to support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may have building-level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plan. </w:t>
      </w:r>
      <w:r>
        <w:rPr>
          <w:rFonts w:ascii="Times New Roman" w:hAnsi="Times New Roman"/>
          <w:b w:val="false"/>
          <w:i w:val="false"/>
          <w:color w:val="000000"/>
          <w:sz w:val="22"/>
        </w:rPr>
        <w:t>A school or school district will develop strategies to collect data and information to determine if it is accomplishing the goals it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of student progress. </w:t>
      </w:r>
      <w:r>
        <w:rPr>
          <w:rFonts w:ascii="Times New Roman" w:hAnsi="Times New Roman"/>
          <w:b w:val="false"/>
          <w:i w:val="false"/>
          <w:color w:val="000000"/>
          <w:sz w:val="22"/>
        </w:rPr>
        <w:t xml:space="preserve">Each school or school district will provide for districtwide assessment of student progress for all students. It will identify valid and reliable student assessments aligned with local content standards, which include the core content standards referenced in subparagraph </w:t>
      </w:r>
      <w:hyperlink r:id="rId154">
        <w:r>
          <w:rPr>
            <w:rStyle w:val="Hyperlink"/>
            <w:rFonts w:ascii="Times New Roman" w:hAnsi="Times New Roman"/>
            <w:b w:val="false"/>
            <w:i w:val="false"/>
            <w:color w:val="000000"/>
            <w:sz w:val="22"/>
          </w:rPr>
          <w:t>12.8(1)</w:t>
        </w:r>
      </w:hyperlink>
      <w:r>
        <w:rPr>
          <w:rFonts w:ascii="Times New Roman" w:hAnsi="Times New Roman"/>
          <w:b w:val="false"/>
          <w:i/>
          <w:color w:val="000000"/>
          <w:sz w:val="22"/>
        </w:rPr>
        <w:t>“c”</w:t>
      </w:r>
      <w:r>
        <w:rPr>
          <w:rFonts w:ascii="Times New Roman" w:hAnsi="Times New Roman"/>
          <w:b w:val="false"/>
          <w:i w:val="false"/>
          <w:color w:val="000000"/>
          <w:sz w:val="22"/>
        </w:rPr>
        <w:t xml:space="preserve">(2). These assessments are not limited to commercially developed measures. School districts receiving early intervention funding described in subrule </w:t>
      </w:r>
      <w:hyperlink r:id="rId155">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 xml:space="preserve"> will provide for diagnostic reading assessments for kindergarten through grade 3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indicators. Using at least one districtwide assessment, a school or school district will assess student progress on the state indicators in reading, mathematics, and science as specified in subrule </w:t>
      </w:r>
      <w:hyperlink r:id="rId156">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 At least one districtwide assessment will allow for the comparison of the school or school district’s students with students from across the state and in the nation in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levels. A school or school district will establish at least three performance levels on at least one districtwide valid and reliable assessment in the areas of reading and mathematics for at least grades 4, 8, and 11 and science in grades 8 and 10 or use the achievement levels as established by the Iowa testing program to meet the intent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Assurances and support. </w:t>
      </w:r>
      <w:r>
        <w:rPr>
          <w:rFonts w:ascii="Times New Roman" w:hAnsi="Times New Roman"/>
          <w:b w:val="false"/>
          <w:i w:val="false"/>
          <w:color w:val="000000"/>
          <w:sz w:val="22"/>
        </w:rPr>
        <w:t>A school or school district will provide evidence that its board has approved and supports the actions under this rule. This assurance includes the commitment for ongoing improvement of the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Statewide summative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statewide summative assessment of student progress administered by school districts for purposes of the core academic indicators is the summative assessment developed by the Iowa testing program within the University of Iowa college of education and administered by the Iowa testing program’s designee. The department may require the Iowa testing program to enter into agreements with such designee to ensure the department is able to comply with Iowa Code chapter </w:t>
      </w:r>
      <w:hyperlink r:id="rId15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this chapter; the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provisions of the Family Educational Rights and Privacy Act, 20 U.S.C. 1232g; and any other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school year beginning July 1, 2018, and each succeeding school year, the statewide summative assessment referred in this paragraph is to meet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students enrolled in school districts in grades 3 through 11 will be administered an assessment in mathematics and English language arts, including reading and writing, during the last quarter of the school year, and all students enrolled in school districts in grades 5, 8, and 10 will be administered an assessment in science during the last quarter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at a minimum, will assess the core academic indicators identified in Iowa Code section </w:t>
      </w:r>
      <w:hyperlink r:id="rId158">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be aligned with the Iowa common core standards in both content and rigor; accurately describe student achievement and growth for purposes of the school, the school district, and state accountability systems; provide valid, reliable, and fair measures of student progress toward college or career readiness; and meet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available for administration in both paper-and-pencil and computer-based formats and include assessments in mathematics, science, and English language arts, including reading and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peer-reviewed by an independent third-party evaluator to determine that the assessment is aligned with the Iowa core academic standards, provides a measurement of student growth and student proficiency, and meets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assessment developed by the Iowa testing service within the University of Iowa college of education will make any necessary adjustments as determined by the peer review to meet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costs of complying with this paragraph will be borne by the Iowa testing program within the University of Iowa college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A school or school district will, at minimum, report annually to its local community about the progress on the 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A school or school district will collect data on the following indicators for reporting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reading status using at least three achievement levels and by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mathematics status using at least three achievement levels and for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of all eighth and tenth grade students achieving proficient or higher science status using at least three achievement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percentage of students considered as dropouts for grades 7 to 12 by gender, race,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seniors who intend to pursue postsecondary education/training.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students achieving a score or status on a measure indicating probable postsecondary success. This measure should be the measure used by the majority of students in the school, school district, or attendance center who plan to attend a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graduates who complete a core program of four years of English-language arts and three or more years each of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Each school or school district will submit an annual progress report to its local community, its respective area education agency, and the department. That report will be submitted to the department by September 15 of each year. The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data on at least one districtwide assessment for the state indicators described in </w:t>
      </w:r>
      <w:hyperlink r:id="rId159">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Every year thereafter the school or school district will compare the annual data collected with the baseline data. A school or school district is not to report to the community about subgroup assessment results when a subgroup contains fewer than ten students at a grade level. A school or school district will report districtwide assessment results for all enrolled and tuitioned-in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determined performance levels for at least one districtwide assessment in, at a minimum, the areas of reading, mathematics, and science. Student achievement levels as defined by the Iowa Testing Program may be used to fulfill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to improve student achievement in the areas of, but not limited to,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based on at least one districtwide assessment in, at a minimum, the areas of reading, mathematics, and science. One annual improvement goal may address all areas, or individual annual improvement goals for each area may be identified. When a school or school district does not meet its annual improvement goals for one year, it shall include in its annual progress report the actions it will take to meet annual improvement goals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Data on multiple assessments for reporting achievement for all students in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by individual attendance centers, as appropriate, on the state indicators as stated in </w:t>
      </w:r>
      <w:hyperlink r:id="rId160">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xml:space="preserve"> and any other locally determined factors or indicators. An attendance center, for reporting purposes, is a building that houses students in grade 4 or grade 8 or grade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School districts are encouraged to provide information on the reading proficiency of kindergarten through grade 3 students by grade level. However, all school districts receiving early intervention block grant funds will report to the department the progress toward achieving their early intervention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reports of progress as the director of the department requires and other reporting requirements as the result of federal and state program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Accreditation, monitoring, and enforcement. </w:t>
      </w:r>
      <w:r>
        <w:rPr>
          <w:rFonts w:ascii="Times New Roman" w:hAnsi="Times New Roman"/>
          <w:b w:val="false"/>
          <w:i w:val="false"/>
          <w:color w:val="000000"/>
          <w:sz w:val="22"/>
        </w:rPr>
        <w:t xml:space="preserve">Accreditation, monitoring, and enforcement is as referenced in Iowa Code section </w:t>
      </w:r>
      <w:hyperlink r:id="rId161">
        <w:r>
          <w:rPr>
            <w:rStyle w:val="Hyperlink"/>
            <w:rFonts w:ascii="Times New Roman" w:hAnsi="Times New Roman"/>
            <w:b w:val="false"/>
            <w:i w:val="false"/>
            <w:color w:val="000000"/>
            <w:sz w:val="22"/>
          </w:rPr>
          <w:t>256.11(10)</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281—12.9</w:t>
      </w:r>
      <w:r>
        <w:rPr>
          <w:rFonts w:ascii="Times New Roman" w:hAnsi="Times New Roman"/>
          <w:b/>
          <w:i w:val="false"/>
          <w:color w:val="000000"/>
          <w:sz w:val="22"/>
        </w:rPr>
        <w:t xml:space="preserve">(256) </w:t>
      </w:r>
      <w:r>
        <w:rPr>
          <w:rFonts w:ascii="Times New Roman" w:hAnsi="Times New Roman"/>
          <w:b/>
          <w:i w:val="false"/>
          <w:color w:val="000000"/>
          <w:sz w:val="22"/>
        </w:rPr>
        <w:t xml:space="preserve">Flexible student and school support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flexible student and school support program is as referenced by Iowa Code section </w:t>
      </w:r>
      <w:hyperlink r:id="rId163">
        <w:r>
          <w:rPr>
            <w:rStyle w:val="Hyperlink"/>
            <w:rFonts w:ascii="Times New Roman" w:hAnsi="Times New Roman"/>
            <w:b w:val="false"/>
            <w:i w:val="false"/>
            <w:color w:val="000000"/>
            <w:sz w:val="22"/>
          </w:rPr>
          <w:t>256.11(8)</w:t>
        </w:r>
      </w:hyperlink>
      <w:r>
        <w:rPr>
          <w:rFonts w:ascii="Times New Roman" w:hAnsi="Times New Roman"/>
          <w:b w:val="false"/>
          <w:i w:val="false"/>
          <w:color w:val="000000"/>
          <w:sz w:val="22"/>
        </w:rPr>
        <w:t xml:space="preserve">. Applications are due to the department on May 31 prior to the school year the application will be implemented. Each school district or nonpublic school approved to participate in the flexible student and school support program will file an annual report with the department on the status of the program in a format prescribed by the department by May 31. Participation in the flexible student and school support program may be renewed for additional periods of years, each not to exceed three years. The director may revoke approval of all or part of any application or approved education program if the annual report or any other information available to the department indicates that conditions no longer warrant use of an exemption or funding from the school district’s flexibility account under Iowa Code section </w:t>
      </w:r>
      <w:hyperlink r:id="rId164">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Notice of revocation must be provided by the director to the school district or nonpublic school prior to the beginning of the school year for which participation is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department. </w:t>
      </w:r>
      <w:r>
        <w:rPr>
          <w:rFonts w:ascii="Times New Roman" w:hAnsi="Times New Roman"/>
          <w:b w:val="false"/>
          <w:i w:val="false"/>
          <w:color w:val="000000"/>
          <w:sz w:val="22"/>
        </w:rPr>
        <w:t>Each school district or nonpublic school approved to participate in the flexible student and school support program will file an annual report with the department on the status of the program in a format prescribed by the department by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281—12.10</w:t>
      </w:r>
      <w:r>
        <w:rPr>
          <w:rFonts w:ascii="Times New Roman" w:hAnsi="Times New Roman"/>
          <w:b/>
          <w:i w:val="false"/>
          <w:color w:val="000000"/>
          <w:sz w:val="22"/>
        </w:rPr>
        <w:t xml:space="preserve">(256) </w:t>
      </w:r>
      <w:r>
        <w:rPr>
          <w:rFonts w:ascii="Times New Roman" w:hAnsi="Times New Roman"/>
          <w:b/>
          <w:i w:val="false"/>
          <w:color w:val="000000"/>
          <w:sz w:val="22"/>
        </w:rPr>
        <w:t xml:space="preserve">Independent accrediting agencies. </w:t>
      </w:r>
      <w:r>
        <w:rPr>
          <w:rFonts w:ascii="Times New Roman" w:hAnsi="Times New Roman"/>
          <w:b w:val="false"/>
          <w:i w:val="false"/>
          <w:color w:val="000000"/>
          <w:sz w:val="22"/>
        </w:rPr>
        <w:t xml:space="preserve">Notwithstanding Iowa Code section </w:t>
      </w:r>
      <w:hyperlink r:id="rId165">
        <w:r>
          <w:rPr>
            <w:rStyle w:val="Hyperlink"/>
            <w:rFonts w:ascii="Times New Roman" w:hAnsi="Times New Roman"/>
            <w:b w:val="false"/>
            <w:i w:val="false"/>
            <w:color w:val="000000"/>
            <w:sz w:val="22"/>
          </w:rPr>
          <w:t>256.11(1) through 256.11(12)</w:t>
        </w:r>
      </w:hyperlink>
      <w:r>
        <w:rPr>
          <w:rFonts w:ascii="Times New Roman" w:hAnsi="Times New Roman"/>
          <w:b w:val="false"/>
          <w:i w:val="false"/>
          <w:color w:val="000000"/>
          <w:sz w:val="22"/>
        </w:rPr>
        <w:t xml:space="preserve"> and this chapter, a nonpublic school may be accredited by an independent accrediting agency that appears on a list maintained by the state board of education instead of being accredited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by a nonpublic school. </w:t>
      </w:r>
      <w:r>
        <w:rPr>
          <w:rFonts w:ascii="Times New Roman" w:hAnsi="Times New Roman"/>
          <w:b w:val="false"/>
          <w:i w:val="false"/>
          <w:color w:val="000000"/>
          <w:sz w:val="22"/>
        </w:rPr>
        <w:t xml:space="preserve">Iowa Code section </w:t>
      </w:r>
      <w:hyperlink r:id="rId166">
        <w:r>
          <w:rPr>
            <w:rStyle w:val="Hyperlink"/>
            <w:rFonts w:ascii="Times New Roman" w:hAnsi="Times New Roman"/>
            <w:b w:val="false"/>
            <w:i w:val="false"/>
            <w:color w:val="000000"/>
            <w:sz w:val="22"/>
          </w:rPr>
          <w:t>256.11(16)</w:t>
        </w:r>
      </w:hyperlink>
      <w:r>
        <w:rPr>
          <w:rFonts w:ascii="Times New Roman" w:hAnsi="Times New Roman"/>
          <w:b w:val="false"/>
          <w:i w:val="false"/>
          <w:color w:val="000000"/>
          <w:sz w:val="22"/>
        </w:rPr>
        <w:t xml:space="preserve"> is incorporated by this reference. New accrediting agencies must apply by November 1. New schools shall notify the department by April 1 if they wish to be included in the independently accredited list for the following school year. Each year the department will contact the approved accrediting agencies requesting an updated list of the schools that are accredited or in the accrediting process for the upcoming school year. This list is due to the department by April 1. A nonpublic school that participates in the accreditation process offered by an independent accrediting agency on the approved list published pursuant to this rule is deemed to meet the education standards of Iowa Code section </w:t>
      </w:r>
      <w:hyperlink r:id="rId167">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 However, such a school shall comply with statutory health and safety requirements for school facilities. A nonpublic school accredited under this chapter shall abide by all state and federal laws and regulations. Notwithstanding Iowa Code section </w:t>
      </w:r>
      <w:hyperlink r:id="rId168">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 department is not precluded from enforcing compliance with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List maintained by state board. </w:t>
      </w:r>
      <w:r>
        <w:rPr>
          <w:rFonts w:ascii="Times New Roman" w:hAnsi="Times New Roman"/>
          <w:b w:val="false"/>
          <w:i w:val="false"/>
          <w:color w:val="000000"/>
          <w:sz w:val="22"/>
        </w:rPr>
        <w:t>The state board will maintain a list of approved independent accrediting agencies comprised of at least six regional or national nonprofit, nongovernmental agencies recognized as reliable authorities concerning the quality of education offered by a school and shall publish the list of independent accrediting agencies on the department’s Internet site. The list will include accrediting agencies that, as of January 1, 2013, accredited a nonpublic school in this state that was concurrently accredited under this rule and include any agency that has a formalized partnership agreement with another agency on the list and has member schools in this state as of January 1, 2013. Agencies that met this standard as of November 20, 2013, are the Independent Schools Association of the Central States (ISACS), Christian Schools International (CSI), Cognia, the National Lutheran Schools Association (NLSA), and the Association of Christian Schools International (ASCI).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Criteria for recognizing an agency as a “reliable authority concerning the quality of education offered by a school.” </w:t>
      </w:r>
      <w:r>
        <w:rPr>
          <w:rFonts w:ascii="Times New Roman" w:hAnsi="Times New Roman"/>
          <w:b w:val="false"/>
          <w:i w:val="false"/>
          <w:color w:val="000000"/>
          <w:sz w:val="22"/>
        </w:rPr>
        <w:t xml:space="preserve">In any decision to add an agency to the list maintained pursuant to subrule </w:t>
      </w:r>
      <w:hyperlink r:id="rId16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or to remove an agency from the list pursuant to subrule </w:t>
      </w:r>
      <w:hyperlink r:id="rId170">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the following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set high academic and nonacademic standards for all students, including preparation of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monitor and assess all students’ progress toward high academic and nonacademic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recruit and retain properly licensed quality professional staff, and provide those staff members with ongoing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set requirements for fiscal, data, and contract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agency monitors compliance with its standards and takes appropriate corrective action when standards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agency itself has appropriate fiscal, data, and contract management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citation of noncompliance by any governmental or nongovernmental agency or organization with jurisdiction or oversight of an accrediting agency listed pursuant to subrule </w:t>
      </w:r>
      <w:hyperlink r:id="rId17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negative audit finding of an accrediting agency listed pursuant to subrule </w:t>
      </w:r>
      <w:hyperlink r:id="rId172">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judgments, orders, decrees, consent decrees, settlement agreements, or verdicts concerning the agency listed pursuant to subrule </w:t>
      </w:r>
      <w:hyperlink r:id="rId173">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entered by any state or federal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4">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continues to retain its nonprofit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5">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has received any form of recognition for innovation or excellence concerning its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criterion used by the agency to determine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reports or findings sent to the nonpublic school regarding accreditation, including findings related to Iowa Code section </w:t>
      </w:r>
      <w:hyperlink r:id="rId176">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Removal of agency from approved independent accrediting agencies. </w:t>
      </w:r>
      <w:r>
        <w:rPr>
          <w:rFonts w:ascii="Times New Roman" w:hAnsi="Times New Roman"/>
          <w:b w:val="false"/>
          <w:i w:val="false"/>
          <w:color w:val="000000"/>
          <w:sz w:val="22"/>
        </w:rPr>
        <w:t xml:space="preserve">If the state board takes preliminary action to remove an agency from the approved list published on the department’s Internet site pursuant to subrule </w:t>
      </w:r>
      <w:hyperlink r:id="rId17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the department will, at least one year prior to removing the agency from the approved list, notify the nonpublic schools participating in the accreditation process offered by the agency of the state board’s intent to remove the accrediting agency from its approved list of independent accrediting agencies. The department will give notice to the independent accrediting agency, along with an opportunity to respond. The notice will also be posted on the department’s Internet site and contain the proposed date of removal. If a nonpublic school receives notice pursuant to this subrule and it chooses to remain accredited, the nonpublic school is to attain accreditation under this rule or otherwise attain accreditation in a manner provided by this chapter or Iowa Code section </w:t>
      </w:r>
      <w:hyperlink r:id="rId178">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not later than one year following the date on which the state board removes the agency from its list of independent accrediting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“at least six.” </w:t>
      </w:r>
      <w:r>
        <w:rPr>
          <w:rFonts w:ascii="Times New Roman" w:hAnsi="Times New Roman"/>
          <w:b w:val="false"/>
          <w:i w:val="false"/>
          <w:color w:val="000000"/>
          <w:sz w:val="22"/>
        </w:rPr>
        <w:t xml:space="preserve">The obligation to maintain a list of at least six agencies in subrule </w:t>
      </w:r>
      <w:hyperlink r:id="rId17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will not be construed to require the list to contain an agency that is not a regional or national nonprofit, nongovernmental agency recognized as a reliable authority concerning the quality of education offered by a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Adoption by the department of standard procedures. </w:t>
      </w:r>
      <w:r>
        <w:rPr>
          <w:rFonts w:ascii="Times New Roman" w:hAnsi="Times New Roman"/>
          <w:b w:val="false"/>
          <w:i w:val="false"/>
          <w:color w:val="000000"/>
          <w:sz w:val="22"/>
        </w:rPr>
        <w:t xml:space="preserve">The department will adopt standard procedures, schedules, and forms for the implementation of this rule, including procedures for adding independent accrediting agencies from the list maintained by the state board pursuant to subrule </w:t>
      </w:r>
      <w:hyperlink r:id="rId180">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and removing agencies from that list pursuant to subrule </w:t>
      </w:r>
      <w:hyperlink r:id="rId181">
        <w:r>
          <w:rPr>
            <w:rStyle w:val="Hyperlink"/>
            <w:rFonts w:ascii="Times New Roman" w:hAnsi="Times New Roman"/>
            <w:b w:val="false"/>
            <w:i w:val="false"/>
            <w:color w:val="000000"/>
            <w:sz w:val="22"/>
          </w:rPr>
          <w:t>12.10(4)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281—12.11</w:t>
      </w:r>
      <w:r>
        <w:rPr>
          <w:rFonts w:ascii="Times New Roman" w:hAnsi="Times New Roman"/>
          <w:b/>
          <w:i w:val="false"/>
          <w:color w:val="000000"/>
          <w:sz w:val="22"/>
        </w:rPr>
        <w:t xml:space="preserve">(256) </w:t>
      </w:r>
      <w:r>
        <w:rPr>
          <w:rFonts w:ascii="Times New Roman" w:hAnsi="Times New Roman"/>
          <w:b/>
          <w:i w:val="false"/>
          <w:color w:val="000000"/>
          <w:sz w:val="22"/>
        </w:rPr>
        <w:t xml:space="preserve">High-quality standards for computer science. </w:t>
      </w:r>
      <w:r>
        <w:rPr>
          <w:rFonts w:ascii="Times New Roman" w:hAnsi="Times New Roman"/>
          <w:b w:val="false"/>
          <w:i w:val="false"/>
          <w:color w:val="000000"/>
          <w:sz w:val="22"/>
        </w:rPr>
        <w:t xml:space="preserve">Iowa Code sections </w:t>
      </w:r>
      <w:hyperlink r:id="rId182">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are incorporated by this reference. A computer science professional development incentive fund is established in the state treasury under the control of the department. The department may accept gifts, grants, bequests, and other private contributions, as well as state or federal moneys, for deposit in the fund. The department may disburse moneys contained in the fund for professional development activities or tuition reimbursement. Notwithstanding Iowa Code section </w:t>
      </w:r>
      <w:hyperlink r:id="rId184">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in the computer science professional development incentive fund that remain unencumbered or unobligated at the close of the fiscal year will not revert but remain available for expenditure for the purposes designated until the close of the succeeding fiscal year. The department may disburse those moneys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school district or accredited nonpublic school, or a collaborative of one or more school districts, accredited nonpublic schools, and area education agencies, may apply to the department, in the manner prescribed by the department, to receive moneys from the fund to provide proven professional development activities for Iowa teachers in the area of computer science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school district or accredited nonpublic school may apply to the department, in the manner prescribed by the department, to receive moneys from the fund to provide tuition reimbursement for Iowa teachers seeking endorsements or authorizations for computer science under Iowa Code section </w:t>
      </w:r>
      <w:hyperlink r:id="rId185">
        <w:r>
          <w:rPr>
            <w:rStyle w:val="Hyperlink"/>
            <w:rFonts w:ascii="Times New Roman" w:hAnsi="Times New Roman"/>
            <w:b w:val="false"/>
            <w:i w:val="false"/>
            <w:color w:val="000000"/>
            <w:sz w:val="22"/>
          </w:rPr>
          <w:t>256.146(19)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6">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256.7(21)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3/4/88, Notice 7/15/87—published 3/23/88, effective 4/27/88]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10/13/89, Notice 7/26/89—published 11/1/89, effective 12/6/89]</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1/15/93, Notice 9/16/92—published 2/3/93, effective 3/10/93]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10/24/97, Notice 8/27/97—published 11/19/97, effective 12/24/97]</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1/16/01, Notice 10/4/00—published 2/7/01, effective 3/14/01]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5/10/07, Notice 3/28/07—published 6/6/07, effective 7/11/07]</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4/3/08, Notice 10/10/07—published 4/23/08, effective 5/28/08]</w:t>
      </w:r>
    </w:p>
    <w:p>
      <w:pPr>
        <w:spacing w:before="0" w:after="0"/>
        <w:ind w:left="120"/>
        <w:jc w:val="center"/>
      </w:pPr>
      <w:r>
        <w:rPr>
          <w:rFonts w:ascii="Times New Roman" w:hAnsi="Times New Roman"/>
          <w:b w:val="false"/>
          <w:i w:val="false"/>
          <w:color w:val="000000"/>
          <w:sz w:val="21"/>
        </w:rPr>
        <w:t>[Filed ARC 7783B</w:t>
      </w:r>
      <w:r>
        <w:rPr>
          <w:rFonts w:ascii="Times New Roman" w:hAnsi="Times New Roman"/>
          <w:b w:val="false"/>
          <w:i w:val="false"/>
          <w:color w:val="000000"/>
          <w:sz w:val="21"/>
        </w:rPr>
        <w:t xml:space="preserve"> (Notice ARC 7504B,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0016C</w:t>
      </w:r>
      <w:r>
        <w:rPr>
          <w:rFonts w:ascii="Times New Roman" w:hAnsi="Times New Roman"/>
          <w:b w:val="false"/>
          <w:i w:val="false"/>
          <w:color w:val="000000"/>
          <w:sz w:val="21"/>
        </w:rPr>
        <w:t xml:space="preserve"> (Notice ARC 9909B,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0525C</w:t>
      </w:r>
      <w:r>
        <w:rPr>
          <w:rFonts w:ascii="Times New Roman" w:hAnsi="Times New Roman"/>
          <w:b w:val="false"/>
          <w:i w:val="false"/>
          <w:color w:val="000000"/>
          <w:sz w:val="21"/>
        </w:rPr>
        <w:t xml:space="preserve"> (Notice ARC 0297C,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1115C</w:t>
      </w:r>
      <w:r>
        <w:rPr>
          <w:rFonts w:ascii="Times New Roman" w:hAnsi="Times New Roman"/>
          <w:b w:val="false"/>
          <w:i w:val="false"/>
          <w:color w:val="000000"/>
          <w:sz w:val="21"/>
        </w:rPr>
        <w:t xml:space="preserve"> (Notice ARC 0954C,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1116C</w:t>
      </w:r>
      <w:r>
        <w:rPr>
          <w:rFonts w:ascii="Times New Roman" w:hAnsi="Times New Roman"/>
          <w:b w:val="false"/>
          <w:i w:val="false"/>
          <w:color w:val="000000"/>
          <w:sz w:val="21"/>
        </w:rPr>
        <w:t xml:space="preserve"> (Notice ARC 0958C,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1118C</w:t>
      </w:r>
      <w:r>
        <w:rPr>
          <w:rFonts w:ascii="Times New Roman" w:hAnsi="Times New Roman"/>
          <w:b w:val="false"/>
          <w:i w:val="false"/>
          <w:color w:val="000000"/>
          <w:sz w:val="21"/>
        </w:rPr>
        <w:t xml:space="preserve"> (Notice ARC 0964C,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1663C</w:t>
      </w:r>
      <w:r>
        <w:rPr>
          <w:rFonts w:ascii="Times New Roman" w:hAnsi="Times New Roman"/>
          <w:b w:val="false"/>
          <w:i w:val="false"/>
          <w:color w:val="000000"/>
          <w:sz w:val="21"/>
        </w:rPr>
        <w:t xml:space="preserve"> (Notice ARC 1527C,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2312C</w:t>
      </w:r>
      <w:r>
        <w:rPr>
          <w:rFonts w:ascii="Times New Roman" w:hAnsi="Times New Roman"/>
          <w:b w:val="false"/>
          <w:i w:val="false"/>
          <w:color w:val="000000"/>
          <w:sz w:val="21"/>
        </w:rPr>
        <w:t xml:space="preserve"> (Notice ARC 2185C, IAB 10/14/15)</w:t>
      </w:r>
      <w:r>
        <w:rPr>
          <w:rFonts w:ascii="Times New Roman" w:hAnsi="Times New Roman"/>
          <w:b w:val="false"/>
          <w:i w:val="false"/>
          <w:color w:val="000000"/>
          <w:sz w:val="21"/>
        </w:rPr>
        <w:t>, IAB 12/9/15, effective 1/13/16]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3765C</w:t>
      </w:r>
      <w:r>
        <w:rPr>
          <w:rFonts w:ascii="Times New Roman" w:hAnsi="Times New Roman"/>
          <w:b w:val="false"/>
          <w:i w:val="false"/>
          <w:color w:val="000000"/>
          <w:sz w:val="21"/>
        </w:rPr>
        <w:t xml:space="preserve"> (Notice ARC 3613C,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3980C</w:t>
      </w:r>
      <w:r>
        <w:rPr>
          <w:rFonts w:ascii="Times New Roman" w:hAnsi="Times New Roman"/>
          <w:b w:val="false"/>
          <w:i w:val="false"/>
          <w:color w:val="000000"/>
          <w:sz w:val="21"/>
        </w:rPr>
        <w:t xml:space="preserve"> (Notice ARC 3822C,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4527C</w:t>
      </w:r>
      <w:r>
        <w:rPr>
          <w:rFonts w:ascii="Times New Roman" w:hAnsi="Times New Roman"/>
          <w:b w:val="false"/>
          <w:i w:val="false"/>
          <w:color w:val="000000"/>
          <w:sz w:val="21"/>
        </w:rPr>
        <w:t xml:space="preserve"> (Notice ARC 4402C,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4808C</w:t>
      </w:r>
      <w:r>
        <w:rPr>
          <w:rFonts w:ascii="Times New Roman" w:hAnsi="Times New Roman"/>
          <w:b w:val="false"/>
          <w:i w:val="false"/>
          <w:color w:val="000000"/>
          <w:sz w:val="21"/>
        </w:rPr>
        <w:t xml:space="preserve"> (Notice ARC 4682C,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5325C</w:t>
      </w:r>
      <w:r>
        <w:rPr>
          <w:rFonts w:ascii="Times New Roman" w:hAnsi="Times New Roman"/>
          <w:b w:val="false"/>
          <w:i w:val="false"/>
          <w:color w:val="000000"/>
          <w:sz w:val="21"/>
        </w:rPr>
        <w:t xml:space="preserve"> (Notice ARC 5207C,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5333C</w:t>
      </w:r>
      <w:r>
        <w:rPr>
          <w:rFonts w:ascii="Times New Roman" w:hAnsi="Times New Roman"/>
          <w:b w:val="false"/>
          <w:i w:val="false"/>
          <w:color w:val="000000"/>
          <w:sz w:val="21"/>
        </w:rPr>
        <w:t xml:space="preserve"> (Notice ARC 5149C,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6291C</w:t>
      </w:r>
      <w:r>
        <w:rPr>
          <w:rFonts w:ascii="Times New Roman" w:hAnsi="Times New Roman"/>
          <w:b w:val="false"/>
          <w:i w:val="false"/>
          <w:color w:val="000000"/>
          <w:sz w:val="21"/>
        </w:rPr>
        <w:t xml:space="preserve"> (Notice ARC 6182C,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[Editorial change: IAC Supplement 2/8/23]</w:t>
      </w:r>
    </w:p>
    <w:p>
      <w:pPr>
        <w:spacing w:before="0" w:after="0"/>
        <w:ind w:left="120"/>
        <w:jc w:val="center"/>
      </w:pPr>
      <w:r>
        <w:rPr>
          <w:rFonts w:ascii="Times New Roman" w:hAnsi="Times New Roman"/>
          <w:b w:val="false"/>
          <w:i w:val="false"/>
          <w:color w:val="000000"/>
          <w:sz w:val="21"/>
        </w:rPr>
        <w:t>[Filed ARC 7787C</w:t>
      </w:r>
      <w:r>
        <w:rPr>
          <w:rFonts w:ascii="Times New Roman" w:hAnsi="Times New Roman"/>
          <w:b w:val="false"/>
          <w:i w:val="false"/>
          <w:color w:val="000000"/>
          <w:sz w:val="21"/>
        </w:rPr>
        <w:t xml:space="preserve"> (Notice ARC 7583C,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8147C</w:t>
      </w:r>
      <w:r>
        <w:rPr>
          <w:rFonts w:ascii="Times New Roman" w:hAnsi="Times New Roman"/>
          <w:b w:val="false"/>
          <w:i w:val="false"/>
          <w:color w:val="000000"/>
          <w:sz w:val="21"/>
        </w:rPr>
        <w:t xml:space="preserve"> (Notice ARC 7169C,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8982C</w:t>
      </w:r>
      <w:r>
        <w:rPr>
          <w:rFonts w:ascii="Times New Roman" w:hAnsi="Times New Roman"/>
          <w:b w:val="false"/>
          <w:i w:val="false"/>
          <w:color w:val="000000"/>
          <w:sz w:val="21"/>
        </w:rPr>
        <w:t xml:space="preserve"> (Notice ARC 8506C, IAB 12/11/24)</w:t>
      </w:r>
      <w:r>
        <w:rPr>
          <w:rFonts w:ascii="Times New Roman" w:hAnsi="Times New Roman"/>
          <w:b w:val="false"/>
          <w:i w:val="false"/>
          <w:color w:val="000000"/>
          <w:sz w:val="21"/>
        </w:rPr>
        <w:t>, IAB 3/5/25, effective 4/9/25]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189">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delayed 70 days by Administrative Rules Review Committee at its meeting held April 20, 1988.</w:t>
      </w:r>
    </w:p>
    <w:p>
      <w:pPr>
        <w:pBdr>
          <w:bottom w:space="2"/>
        </w:pBdr>
        <w:spacing w:before="0" w:after="0"/>
        <w:ind w:left="120"/>
        <w:jc w:val="both"/>
      </w:pPr>
      <w:r>
        <w:rPr>
          <w:rFonts w:ascii="Times New Roman" w:hAnsi="Times New Roman"/>
          <w:b w:val="false"/>
          <w:i w:val="false"/>
          <w:color w:val="000000"/>
          <w:sz w:val="22"/>
        </w:rPr>
        <w:t>March 28, 2012, effective date of 12.3(3), 12.4(6), 12.4(14), 12.5(4)</w:t>
      </w:r>
      <w:r>
        <w:rPr>
          <w:rFonts w:ascii="Times New Roman" w:hAnsi="Times New Roman"/>
          <w:b w:val="false"/>
          <w:i/>
          <w:color w:val="000000"/>
          <w:sz w:val="22"/>
        </w:rPr>
        <w:t>“l,”</w:t>
      </w:r>
      <w:r>
        <w:rPr>
          <w:rFonts w:ascii="Times New Roman" w:hAnsi="Times New Roman"/>
          <w:b w:val="false"/>
          <w:i w:val="false"/>
          <w:color w:val="000000"/>
          <w:sz w:val="22"/>
        </w:rPr>
        <w:t xml:space="preserve"> and 12.5(17) delayed 30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January 13, 2016, effective date of ARC 2312C [12.8(1)</w:t>
      </w:r>
      <w:r>
        <w:rPr>
          <w:rFonts w:ascii="Times New Roman" w:hAnsi="Times New Roman"/>
          <w:b w:val="false"/>
          <w:i/>
          <w:color w:val="000000"/>
          <w:sz w:val="22"/>
        </w:rPr>
        <w:t>“h”</w:t>
      </w:r>
      <w:r>
        <w:rPr>
          <w:rFonts w:ascii="Times New Roman" w:hAnsi="Times New Roman"/>
          <w:b w:val="false"/>
          <w:i w:val="false"/>
          <w:color w:val="000000"/>
          <w:sz w:val="22"/>
        </w:rPr>
        <w:t>] delayed until the adjournment of the 2016 General Assembly by the Administrative Rules Review Committee at its meeting held January 8, 2016.</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1.pdf" Type="http://schemas.openxmlformats.org/officeDocument/2006/relationships/hyperlink" Id="rId5"/>
    <Relationship TargetMode="External" Target="https://www.legis.iowa.gov/docs/ico/chapter/280.2.pdf" Type="http://schemas.openxmlformats.org/officeDocument/2006/relationships/hyperlink" Id="rId6"/>
    <Relationship TargetMode="External" Target="https://www.legis.iowa.gov/docs/ico/chapter/280.3.pdf" Type="http://schemas.openxmlformats.org/officeDocument/2006/relationships/hyperlink" Id="rId7"/>
    <Relationship TargetMode="External" Target="https://www.legis.iowa.gov/docs/iac/rule/281.12.10.pdf" Type="http://schemas.openxmlformats.org/officeDocument/2006/relationships/hyperlink" Id="rId8"/>
    <Relationship TargetMode="External" Target="https://www.legis.iowa.gov/docs/iac/rule/281.12.10.pdf" Type="http://schemas.openxmlformats.org/officeDocument/2006/relationships/hyperlink" Id="rId9"/>
    <Relationship TargetMode="External" Target="https://www.legis.iowa.gov/docs/ico/chapter/256.11.pdf" Type="http://schemas.openxmlformats.org/officeDocument/2006/relationships/hyperlink" Id="rId10"/>
    <Relationship TargetMode="External" Target="https://www.legis.iowa.gov/docs/ico/chapter/256.11.pdf" Type="http://schemas.openxmlformats.org/officeDocument/2006/relationships/hyperlink" Id="rId11"/>
    <Relationship TargetMode="External" Target="https://www.legis.iowa.gov/docs/ico/chapter/256.13.pdf" Type="http://schemas.openxmlformats.org/officeDocument/2006/relationships/hyperlink" Id="rId12"/>
    <Relationship TargetMode="External" Target="https://www.legis.iowa.gov/docs/ico/chapter/273.7A.pdf" Type="http://schemas.openxmlformats.org/officeDocument/2006/relationships/hyperlink" Id="rId13"/>
    <Relationship TargetMode="External" Target="https://www.legis.iowa.gov/docs/ico/chapter/279.20.pdf" Type="http://schemas.openxmlformats.org/officeDocument/2006/relationships/hyperlink" Id="rId14"/>
    <Relationship TargetMode="External" Target="https://www.legis.iowa.gov/docs/ico/chapter/280.15.pdf" Type="http://schemas.openxmlformats.org/officeDocument/2006/relationships/hyperlink" Id="rId15"/>
    <Relationship TargetMode="External" Target="https://www.legis.iowa.gov/docs/ico/chapter/282.7.pdf" Type="http://schemas.openxmlformats.org/officeDocument/2006/relationships/hyperlink" Id="rId16"/>
    <Relationship TargetMode="External" Target="https://www.legis.iowa.gov/docs/ico/chapter/282.10.pdf" Type="http://schemas.openxmlformats.org/officeDocument/2006/relationships/hyperlink" Id="rId17"/>
    <Relationship TargetMode="External" Target="https://www.legis.iowa.gov/docs/ico/chapter/256.12.pdf" Type="http://schemas.openxmlformats.org/officeDocument/2006/relationships/hyperlink" Id="rId18"/>
    <Relationship TargetMode="External" Target="https://www.legis.iowa.gov/docs/ico/chapter/256.7.pdf" Type="http://schemas.openxmlformats.org/officeDocument/2006/relationships/hyperlink" Id="rId19"/>
    <Relationship TargetMode="External" Target="https://www.legis.iowa.gov/docs/ico/chapter/279.10.pdf" Type="http://schemas.openxmlformats.org/officeDocument/2006/relationships/hyperlink" Id="rId20"/>
    <Relationship TargetMode="External" Target="https://www.legis.iowa.gov/docs/ico/chapter/279.11.pdf" Type="http://schemas.openxmlformats.org/officeDocument/2006/relationships/hyperlink" Id="rId21"/>
    <Relationship TargetMode="External" Target="https://www.legis.iowa.gov/docs/ico/chapter/279.50.pdf" Type="http://schemas.openxmlformats.org/officeDocument/2006/relationships/hyperlink" Id="rId22"/>
    <Relationship TargetMode="External" Target="https://www.legis.iowa.gov/docs/iac/rule/281.12.5.pdf" Type="http://schemas.openxmlformats.org/officeDocument/2006/relationships/hyperlink" Id="rId23"/>
    <Relationship TargetMode="External" Target="https://www.legis.iowa.gov/docs/ico/chapter/256C.pdf" Type="http://schemas.openxmlformats.org/officeDocument/2006/relationships/hyperlink" Id="rId24"/>
    <Relationship TargetMode="External" Target="https://www.legis.iowa.gov/docs/iac/rule/281.12.3.pdf" Type="http://schemas.openxmlformats.org/officeDocument/2006/relationships/hyperlink" Id="rId25"/>
    <Relationship TargetMode="External" Target="https://www.legis.iowa.gov/docs/ico/chapter/280.12.pdf" Type="http://schemas.openxmlformats.org/officeDocument/2006/relationships/hyperlink" Id="rId26"/>
    <Relationship TargetMode="External" Target="https://www.legis.iowa.gov/docs/ico/chapter/280.12.pdf" Type="http://schemas.openxmlformats.org/officeDocument/2006/relationships/hyperlink" Id="rId27"/>
    <Relationship TargetMode="External" Target="https://www.legis.iowa.gov/docs/ico/chapter/148.pdf" Type="http://schemas.openxmlformats.org/officeDocument/2006/relationships/hyperlink" Id="rId28"/>
    <Relationship TargetMode="External" Target="https://www.legis.iowa.gov/docs/ico/chapter/148C.pdf" Type="http://schemas.openxmlformats.org/officeDocument/2006/relationships/hyperlink" Id="rId29"/>
    <Relationship TargetMode="External" Target="https://www.legis.iowa.gov/docs/ico/chapter/151.pdf" Type="http://schemas.openxmlformats.org/officeDocument/2006/relationships/hyperlink" Id="rId30"/>
    <Relationship TargetMode="External" Target="https://www.legis.iowa.gov/docs/ico/chapter/152.pdf" Type="http://schemas.openxmlformats.org/officeDocument/2006/relationships/hyperlink" Id="rId31"/>
    <Relationship TargetMode="External" Target="https://www.legis.iowa.gov/docs/ico/chapter/279.14.pdf" Type="http://schemas.openxmlformats.org/officeDocument/2006/relationships/hyperlink" Id="rId32"/>
    <Relationship TargetMode="External" Target="https://www.legis.iowa.gov/docs/ico/chapter/279.23A.pdf" Type="http://schemas.openxmlformats.org/officeDocument/2006/relationships/hyperlink" Id="rId33"/>
    <Relationship TargetMode="External" Target="https://www.legis.iowa.gov/docs/ico/chapter/280.25.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280.14.pdf" Type="http://schemas.openxmlformats.org/officeDocument/2006/relationships/hyperlink" Id="rId36"/>
    <Relationship TargetMode="External" Target="https://www.legis.iowa.gov/docs/ico/chapter/256.7.pdf" Type="http://schemas.openxmlformats.org/officeDocument/2006/relationships/hyperlink" Id="rId37"/>
    <Relationship TargetMode="External" Target="https://www.legis.iowa.gov/docs/ico/chapter/279.8.pdf" Type="http://schemas.openxmlformats.org/officeDocument/2006/relationships/hyperlink" Id="rId38"/>
    <Relationship TargetMode="External" Target="https://www.legis.iowa.gov/docs/iac/rule/281.12.3.pdf" Type="http://schemas.openxmlformats.org/officeDocument/2006/relationships/hyperlink" Id="rId39"/>
    <Relationship TargetMode="External" Target="https://www.legis.iowa.gov/docs/ico/chapter/216.2.pdf" Type="http://schemas.openxmlformats.org/officeDocument/2006/relationships/hyperlink" Id="rId40"/>
    <Relationship TargetMode="External" Target="https://www.legis.iowa.gov/docs/ico/chapter/216.2.pdf" Type="http://schemas.openxmlformats.org/officeDocument/2006/relationships/hyperlink" Id="rId41"/>
    <Relationship TargetMode="External" Target="https://www.legis.iowa.gov/docs/ico/chapter/11.6.pdf" Type="http://schemas.openxmlformats.org/officeDocument/2006/relationships/hyperlink" Id="rId42"/>
    <Relationship TargetMode="External" Target="https://www.legis.iowa.gov/docs/ico/chapter/279.39.pdf" Type="http://schemas.openxmlformats.org/officeDocument/2006/relationships/hyperlink" Id="rId43"/>
    <Relationship TargetMode="External" Target="https://www.legis.iowa.gov/docs/ico/chapter/280.3.pdf" Type="http://schemas.openxmlformats.org/officeDocument/2006/relationships/hyperlink" Id="rId44"/>
    <Relationship TargetMode="External" Target="https://www.legis.iowa.gov/docs/ico/chapter/256.11.pdf" Type="http://schemas.openxmlformats.org/officeDocument/2006/relationships/hyperlink" Id="rId45"/>
    <Relationship TargetMode="External" Target="https://www.legis.iowa.gov/docs/ico/chapter/280.6.pdf" Type="http://schemas.openxmlformats.org/officeDocument/2006/relationships/hyperlink" Id="rId46"/>
    <Relationship TargetMode="External" Target="https://www.legis.iowa.gov/docs/ico/chapter/279.77.pdf" Type="http://schemas.openxmlformats.org/officeDocument/2006/relationships/hyperlink" Id="rId47"/>
    <Relationship TargetMode="External" Target="https://www.legis.iowa.gov/docs/ico/chapter/280.28.pdf" Type="http://schemas.openxmlformats.org/officeDocument/2006/relationships/hyperlink" Id="rId48"/>
    <Relationship TargetMode="External" Target="https://www.legis.iowa.gov/docs/iac/rule/281.12.3.pdf" Type="http://schemas.openxmlformats.org/officeDocument/2006/relationships/hyperlink" Id="rId49"/>
    <Relationship TargetMode="External" Target="https://www.legis.iowa.gov/docs/ico/chapter/280.5.pdf" Type="http://schemas.openxmlformats.org/officeDocument/2006/relationships/hyperlink" Id="rId50"/>
    <Relationship TargetMode="External" Target="https://www.legis.iowa.gov/docs/ico/chapter/216.2.pdf" Type="http://schemas.openxmlformats.org/officeDocument/2006/relationships/hyperlink" Id="rId51"/>
    <Relationship TargetMode="External" Target="https://www.legis.iowa.gov/docs/ico/chapter/279.80.pdf" Type="http://schemas.openxmlformats.org/officeDocument/2006/relationships/hyperlink" Id="rId52"/>
    <Relationship TargetMode="External" Target="https://www.legis.iowa.gov/docs/ico/chapter/256.pdf" Type="http://schemas.openxmlformats.org/officeDocument/2006/relationships/hyperlink" Id="rId53"/>
    <Relationship TargetMode="External" Target="https://www.legis.iowa.gov/docs/ico/chapter/279.13.pdf" Type="http://schemas.openxmlformats.org/officeDocument/2006/relationships/hyperlink" Id="rId54"/>
    <Relationship TargetMode="External" Target="https://www.legis.iowa.gov/docs/ico/chapter/273.7A.pdf" Type="http://schemas.openxmlformats.org/officeDocument/2006/relationships/hyperlink" Id="rId55"/>
    <Relationship TargetMode="External" Target="https://www.legis.iowa.gov/docs/ico/chapter/279.23.pdf" Type="http://schemas.openxmlformats.org/officeDocument/2006/relationships/hyperlink" Id="rId56"/>
    <Relationship TargetMode="External" Target="https://www.legis.iowa.gov/docs/iac/rule/281.12.4.pdf" Type="http://schemas.openxmlformats.org/officeDocument/2006/relationships/hyperlink" Id="rId57"/>
    <Relationship TargetMode="External" Target="https://www.legis.iowa.gov/docs/iac/rule/281.12.7.pdf" Type="http://schemas.openxmlformats.org/officeDocument/2006/relationships/hyperlink" Id="rId58"/>
    <Relationship TargetMode="External" Target="https://www.legis.iowa.gov/docs/iac/rule/281.12.4.pdf" Type="http://schemas.openxmlformats.org/officeDocument/2006/relationships/hyperlink" Id="rId59"/>
    <Relationship TargetMode="External" Target="https://www.legis.iowa.gov/docs/iac/rule/281.12.4.pdf" Type="http://schemas.openxmlformats.org/officeDocument/2006/relationships/hyperlink" Id="rId60"/>
    <Relationship TargetMode="External" Target="https://www.legis.iowa.gov/docs/ico/chapter/256.11.pdf" Type="http://schemas.openxmlformats.org/officeDocument/2006/relationships/hyperlink" Id="rId61"/>
    <Relationship TargetMode="External" Target="https://www.legis.iowa.gov/docs/ico/chapter/256.11.pdf" Type="http://schemas.openxmlformats.org/officeDocument/2006/relationships/hyperlink" Id="rId62"/>
    <Relationship TargetMode="External" Target="https://www.legis.iowa.gov/docs/iac/rule/281.12.4.pdf" Type="http://schemas.openxmlformats.org/officeDocument/2006/relationships/hyperlink" Id="rId63"/>
    <Relationship TargetMode="External" Target="https://www.legis.iowa.gov/docs/ico/chapter/256.11.pdf" Type="http://schemas.openxmlformats.org/officeDocument/2006/relationships/hyperlink" Id="rId64"/>
    <Relationship TargetMode="External" Target="https://www.legis.iowa.gov/docs/ico/chapter/256.11.pdf" Type="http://schemas.openxmlformats.org/officeDocument/2006/relationships/hyperlink" Id="rId65"/>
    <Relationship TargetMode="External" Target="https://www.legis.iowa.gov/docs/ico/chapter/256.11.pdf" Type="http://schemas.openxmlformats.org/officeDocument/2006/relationships/hyperlink" Id="rId66"/>
    <Relationship TargetMode="External" Target="https://www.legis.iowa.gov/docs/ico/chapter/256.7.pdf" Type="http://schemas.openxmlformats.org/officeDocument/2006/relationships/hyperlink" Id="rId67"/>
    <Relationship TargetMode="External" Target="https://www.legis.iowa.gov/docs/ico/chapter/256.9.pdf" Type="http://schemas.openxmlformats.org/officeDocument/2006/relationships/hyperlink" Id="rId68"/>
    <Relationship TargetMode="External" Target="https://www.legis.iowa.gov/docs/ico/chapter/256.7.pdf" Type="http://schemas.openxmlformats.org/officeDocument/2006/relationships/hyperlink" Id="rId69"/>
    <Relationship TargetMode="External" Target="https://www.legis.iowa.gov/docs/ico/chapter/256.7.pdf" Type="http://schemas.openxmlformats.org/officeDocument/2006/relationships/hyperlink" Id="rId70"/>
    <Relationship TargetMode="External" Target="https://www.legis.iowa.gov/docs/ico/chapter/256.7.pdf" Type="http://schemas.openxmlformats.org/officeDocument/2006/relationships/hyperlink" Id="rId71"/>
    <Relationship TargetMode="External" Target="https://www.legis.iowa.gov/docs/ico/chapter/256.7.pdf" Type="http://schemas.openxmlformats.org/officeDocument/2006/relationships/hyperlink" Id="rId72"/>
    <Relationship TargetMode="External" Target="https://www.legis.iowa.gov/docs/ico/chapter/279.50.pdf" Type="http://schemas.openxmlformats.org/officeDocument/2006/relationships/hyperlink" Id="rId73"/>
    <Relationship TargetMode="External" Target="https://www.legis.iowa.gov/docs/ico/chapter/256.7.pdf" Type="http://schemas.openxmlformats.org/officeDocument/2006/relationships/hyperlink" Id="rId74"/>
    <Relationship TargetMode="External" Target="https://www.legis.iowa.gov/docs/ico/chapter/256.9.pdf" Type="http://schemas.openxmlformats.org/officeDocument/2006/relationships/hyperlink" Id="rId75"/>
    <Relationship TargetMode="External" Target="https://www.legis.iowa.gov/docs/ico/chapter/256.11.pdf" Type="http://schemas.openxmlformats.org/officeDocument/2006/relationships/hyperlink" Id="rId76"/>
    <Relationship TargetMode="External" Target="https://www.legis.iowa.gov/docs/ico/chapter/256.7.pdf" Type="http://schemas.openxmlformats.org/officeDocument/2006/relationships/hyperlink" Id="rId77"/>
    <Relationship TargetMode="External" Target="https://www.legis.iowa.gov/docs/ico/chapter/256.7.pdf" Type="http://schemas.openxmlformats.org/officeDocument/2006/relationships/hyperlink" Id="rId78"/>
    <Relationship TargetMode="External" Target="https://www.legis.iowa.gov/docs/ico/chapter/256.7.pdf" Type="http://schemas.openxmlformats.org/officeDocument/2006/relationships/hyperlink" Id="rId79"/>
    <Relationship TargetMode="External" Target="https://www.legis.iowa.gov/docs/ico/chapter/256.7.pdf" Type="http://schemas.openxmlformats.org/officeDocument/2006/relationships/hyperlink" Id="rId80"/>
    <Relationship TargetMode="External" Target="https://www.legis.iowa.gov/docs/ico/chapter/256.7.pdf" Type="http://schemas.openxmlformats.org/officeDocument/2006/relationships/hyperlink" Id="rId81"/>
    <Relationship TargetMode="External" Target="https://www.legis.iowa.gov/docs/ico/chapter/279.50.pdf" Type="http://schemas.openxmlformats.org/officeDocument/2006/relationships/hyperlink" Id="rId82"/>
    <Relationship TargetMode="External" Target="https://www.legis.iowa.gov/docs/iac/rule/281.12.5.pdf" Type="http://schemas.openxmlformats.org/officeDocument/2006/relationships/hyperlink" Id="rId83"/>
    <Relationship TargetMode="External" Target="https://www.legis.iowa.gov/docs/iac/rule/281.12.5.pdf" Type="http://schemas.openxmlformats.org/officeDocument/2006/relationships/hyperlink" Id="rId84"/>
    <Relationship TargetMode="External" Target="https://www.legis.iowa.gov/docs/iac/rule/281.12.5.pdf" Type="http://schemas.openxmlformats.org/officeDocument/2006/relationships/hyperlink" Id="rId85"/>
    <Relationship TargetMode="External" Target="https://www.legis.iowa.gov/docs/ico/chapter/256.7.pdf" Type="http://schemas.openxmlformats.org/officeDocument/2006/relationships/hyperlink" Id="rId86"/>
    <Relationship TargetMode="External" Target="https://www.legis.iowa.gov/docs/ico/chapter/256.7.pdf" Type="http://schemas.openxmlformats.org/officeDocument/2006/relationships/hyperlink" Id="rId87"/>
    <Relationship TargetMode="External" Target="https://www.legis.iowa.gov/docs/iac/rule/281.12.5.pdf" Type="http://schemas.openxmlformats.org/officeDocument/2006/relationships/hyperlink" Id="rId88"/>
    <Relationship TargetMode="External" Target="https://www.legis.iowa.gov/docs/ico/chapter/256.11.pdf" Type="http://schemas.openxmlformats.org/officeDocument/2006/relationships/hyperlink" Id="rId89"/>
    <Relationship TargetMode="External" Target="https://www.legis.iowa.gov/docs/ico/chapter/256.7.pdf" Type="http://schemas.openxmlformats.org/officeDocument/2006/relationships/hyperlink" Id="rId90"/>
    <Relationship TargetMode="External" Target="https://www.legis.iowa.gov/docs/ico/chapter/256.11.pdf" Type="http://schemas.openxmlformats.org/officeDocument/2006/relationships/hyperlink" Id="rId91"/>
    <Relationship TargetMode="External" Target="https://www.legis.iowa.gov/docs/ico/chapter/256.11.pdf" Type="http://schemas.openxmlformats.org/officeDocument/2006/relationships/hyperlink" Id="rId92"/>
    <Relationship TargetMode="External" Target="https://www.legis.iowa.gov/docs/ico/chapter/256.7.pdf" Type="http://schemas.openxmlformats.org/officeDocument/2006/relationships/hyperlink" Id="rId93"/>
    <Relationship TargetMode="External" Target="https://www.legis.iowa.gov/docs/ico/chapter/256.7.pdf" Type="http://schemas.openxmlformats.org/officeDocument/2006/relationships/hyperlink" Id="rId94"/>
    <Relationship TargetMode="External" Target="https://www.legis.iowa.gov/docs/ico/chapter/256.11.pdf" Type="http://schemas.openxmlformats.org/officeDocument/2006/relationships/hyperlink" Id="rId95"/>
    <Relationship TargetMode="External" Target="https://www.legis.iowa.gov/docs/ico/chapter/280.9A.pdf" Type="http://schemas.openxmlformats.org/officeDocument/2006/relationships/hyperlink" Id="rId96"/>
    <Relationship TargetMode="External" Target="https://www.legis.iowa.gov/docs/ico/chapter/256.7.pdf" Type="http://schemas.openxmlformats.org/officeDocument/2006/relationships/hyperlink" Id="rId97"/>
    <Relationship TargetMode="External" Target="https://www.legis.iowa.gov/docs/ico/chapter/256.11.pdf" Type="http://schemas.openxmlformats.org/officeDocument/2006/relationships/hyperlink" Id="rId98"/>
    <Relationship TargetMode="External" Target="https://www.legis.iowa.gov/docs/ico/chapter/256.7.pdf" Type="http://schemas.openxmlformats.org/officeDocument/2006/relationships/hyperlink" Id="rId99"/>
    <Relationship TargetMode="External" Target="https://www.legis.iowa.gov/docs/ico/chapter/256.11.pdf" Type="http://schemas.openxmlformats.org/officeDocument/2006/relationships/hyperlink" Id="rId100"/>
    <Relationship TargetMode="External" Target="https://www.legis.iowa.gov/docs/ico/chapter/256.7.pdf" Type="http://schemas.openxmlformats.org/officeDocument/2006/relationships/hyperlink" Id="rId101"/>
    <Relationship TargetMode="External" Target="https://www.legis.iowa.gov/docs/ico/chapter/256.11.pdf" Type="http://schemas.openxmlformats.org/officeDocument/2006/relationships/hyperlink" Id="rId102"/>
    <Relationship TargetMode="External" Target="https://www.legis.iowa.gov/docs/ico/chapter/279.50.pdf" Type="http://schemas.openxmlformats.org/officeDocument/2006/relationships/hyperlink" Id="rId103"/>
    <Relationship TargetMode="External" Target="https://www.legis.iowa.gov/docs/ico/chapter/256.11.pdf" Type="http://schemas.openxmlformats.org/officeDocument/2006/relationships/hyperlink" Id="rId104"/>
    <Relationship TargetMode="External" Target="https://www.legis.iowa.gov/docs/ico/chapter/256.11.pdf" Type="http://schemas.openxmlformats.org/officeDocument/2006/relationships/hyperlink" Id="rId105"/>
    <Relationship TargetMode="External" Target="https://www.legis.iowa.gov/docs/ico/chapter/256.11.pdf" Type="http://schemas.openxmlformats.org/officeDocument/2006/relationships/hyperlink" Id="rId106"/>
    <Relationship TargetMode="External" Target="https://www.legis.iowa.gov/docs/ico/chapter/256.pdf" Type="http://schemas.openxmlformats.org/officeDocument/2006/relationships/hyperlink" Id="rId107"/>
    <Relationship TargetMode="External" Target="https://www.legis.iowa.gov/docs/iac/chapter/281.46.pdf" Type="http://schemas.openxmlformats.org/officeDocument/2006/relationships/hyperlink" Id="rId108"/>
    <Relationship TargetMode="External" Target="https://www.legis.iowa.gov/docs/ico/chapter/256.11B.pdf" Type="http://schemas.openxmlformats.org/officeDocument/2006/relationships/hyperlink" Id="rId109"/>
    <Relationship TargetMode="External" Target="https://www.legis.iowa.gov/docs/ico/chapter/256.11.pdf" Type="http://schemas.openxmlformats.org/officeDocument/2006/relationships/hyperlink" Id="rId110"/>
    <Relationship TargetMode="External" Target="https://www.legis.iowa.gov/docs/ico/chapter/256.7.pdf" Type="http://schemas.openxmlformats.org/officeDocument/2006/relationships/hyperlink" Id="rId111"/>
    <Relationship TargetMode="External" Target="https://www.legis.iowa.gov/docs/ico/chapter/256.11.pdf" Type="http://schemas.openxmlformats.org/officeDocument/2006/relationships/hyperlink" Id="rId112"/>
    <Relationship TargetMode="External" Target="https://www.legis.iowa.gov/docs/ico/chapter/256.11.pdf" Type="http://schemas.openxmlformats.org/officeDocument/2006/relationships/hyperlink" Id="rId113"/>
    <Relationship TargetMode="External" Target="https://www.legis.iowa.gov/docs/ico/chapter/256.9.pdf" Type="http://schemas.openxmlformats.org/officeDocument/2006/relationships/hyperlink" Id="rId114"/>
    <Relationship TargetMode="External" Target="https://www.legis.iowa.gov/docs/ico/chapter/279.61.pdf" Type="http://schemas.openxmlformats.org/officeDocument/2006/relationships/hyperlink" Id="rId115"/>
    <Relationship TargetMode="External" Target="https://www.legis.iowa.gov/docs/ico/chapter/280.9.pdf" Type="http://schemas.openxmlformats.org/officeDocument/2006/relationships/hyperlink" Id="rId116"/>
    <Relationship TargetMode="External" Target="https://www.legis.iowa.gov/docs/ico/chapter/256.11.pdf" Type="http://schemas.openxmlformats.org/officeDocument/2006/relationships/hyperlink" Id="rId117"/>
    <Relationship TargetMode="External" Target="https://www.legis.iowa.gov/docs/ico/chapter/256.pdf" Type="http://schemas.openxmlformats.org/officeDocument/2006/relationships/hyperlink" Id="rId118"/>
    <Relationship TargetMode="External" Target="https://www.legis.iowa.gov/docs/ico/chapter/256B.pdf" Type="http://schemas.openxmlformats.org/officeDocument/2006/relationships/hyperlink" Id="rId119"/>
    <Relationship TargetMode="External" Target="https://www.legis.iowa.gov/docs/ico/chapter/273.pdf" Type="http://schemas.openxmlformats.org/officeDocument/2006/relationships/hyperlink" Id="rId120"/>
    <Relationship TargetMode="External" Target="https://www.legis.iowa.gov/docs/ico/chapter/280.pdf" Type="http://schemas.openxmlformats.org/officeDocument/2006/relationships/hyperlink" Id="rId121"/>
    <Relationship TargetMode="External" Target="https://www.legis.iowa.gov/docs/ico/chapter/256.11.pdf" Type="http://schemas.openxmlformats.org/officeDocument/2006/relationships/hyperlink" Id="rId122"/>
    <Relationship TargetMode="External" Target="https://www.legis.iowa.gov/docs/ico/chapter/257.42-49.pdf" Type="http://schemas.openxmlformats.org/officeDocument/2006/relationships/hyperlink" Id="rId123"/>
    <Relationship TargetMode="External" Target="https://www.legis.iowa.gov/docs/ico/chapter/280.19.pdf" Type="http://schemas.openxmlformats.org/officeDocument/2006/relationships/hyperlink" Id="rId124"/>
    <Relationship TargetMode="External" Target="https://www.legis.iowa.gov/docs/ico/chapter/280.19A.pdf" Type="http://schemas.openxmlformats.org/officeDocument/2006/relationships/hyperlink" Id="rId125"/>
    <Relationship TargetMode="External" Target="https://www.legis.iowa.gov/docs/iac/rule/281.12.9.pdf" Type="http://schemas.openxmlformats.org/officeDocument/2006/relationships/hyperlink" Id="rId126"/>
    <Relationship TargetMode="External" Target="https://www.legis.iowa.gov/docs/ico/chapter/256.11.pdf" Type="http://schemas.openxmlformats.org/officeDocument/2006/relationships/hyperlink" Id="rId127"/>
    <Relationship TargetMode="External" Target="https://www.legis.iowa.gov/docs/iac/rule/281.12.5.pdf" Type="http://schemas.openxmlformats.org/officeDocument/2006/relationships/hyperlink" Id="rId128"/>
    <Relationship TargetMode="External" Target="https://www.legis.iowa.gov/docs/iac/rule/281.12.5.pdf" Type="http://schemas.openxmlformats.org/officeDocument/2006/relationships/hyperlink" Id="rId129"/>
    <Relationship TargetMode="External" Target="https://www.legis.iowa.gov/docs/iac/rule/281.12.1.pdf" Type="http://schemas.openxmlformats.org/officeDocument/2006/relationships/hyperlink" Id="rId130"/>
    <Relationship TargetMode="External" Target="https://www.legis.iowa.gov/docs/ico/chapter/256.7.pdf" Type="http://schemas.openxmlformats.org/officeDocument/2006/relationships/hyperlink" Id="rId131"/>
    <Relationship TargetMode="External" Target="https://www.legis.iowa.gov/docs/ico/chapter/279.50.pdf" Type="http://schemas.openxmlformats.org/officeDocument/2006/relationships/hyperlink" Id="rId132"/>
    <Relationship TargetMode="External" Target="https://www.legis.iowa.gov/docs/ico/chapter/256.11.pdf" Type="http://schemas.openxmlformats.org/officeDocument/2006/relationships/hyperlink" Id="rId133"/>
    <Relationship TargetMode="External" Target="https://www.legis.iowa.gov/docs/ico/chapter/256.11.pdf" Type="http://schemas.openxmlformats.org/officeDocument/2006/relationships/hyperlink" Id="rId134"/>
    <Relationship TargetMode="External" Target="https://www.legis.iowa.gov/docs/iac/rule/281.12.5.pdf" Type="http://schemas.openxmlformats.org/officeDocument/2006/relationships/hyperlink" Id="rId135"/>
    <Relationship TargetMode="External" Target="https://www.legis.iowa.gov/docs/ico/chapter/256.11.pdf" Type="http://schemas.openxmlformats.org/officeDocument/2006/relationships/hyperlink" Id="rId136"/>
    <Relationship TargetMode="External" Target="https://www.legis.iowa.gov/docs/ico/chapter/279.50A.pdf" Type="http://schemas.openxmlformats.org/officeDocument/2006/relationships/hyperlink" Id="rId137"/>
    <Relationship TargetMode="External" Target="https://www.legis.iowa.gov/docs/ico/chapter/256.7.pdf" Type="http://schemas.openxmlformats.org/officeDocument/2006/relationships/hyperlink" Id="rId138"/>
    <Relationship TargetMode="External" Target="https://www.legis.iowa.gov/docs/ico/chapter/256.7.pdf" Type="http://schemas.openxmlformats.org/officeDocument/2006/relationships/hyperlink" Id="rId139"/>
    <Relationship TargetMode="External" Target="https://www.legis.iowa.gov/docs/ico/chapter/256.9.pdf" Type="http://schemas.openxmlformats.org/officeDocument/2006/relationships/hyperlink" Id="rId140"/>
    <Relationship TargetMode="External" Target="https://www.legis.iowa.gov/docs/ico/chapter/256.9.pdf" Type="http://schemas.openxmlformats.org/officeDocument/2006/relationships/hyperlink" Id="rId141"/>
    <Relationship TargetMode="External" Target="https://www.legis.iowa.gov/docs/ico/chapter/256.9.pdf" Type="http://schemas.openxmlformats.org/officeDocument/2006/relationships/hyperlink" Id="rId142"/>
    <Relationship TargetMode="External" Target="https://www.legis.iowa.gov/docs/ico/chapter/284.pdf" Type="http://schemas.openxmlformats.org/officeDocument/2006/relationships/hyperlink" Id="rId143"/>
    <Relationship TargetMode="External" Target="https://www.legis.iowa.gov/docs/iac/rule/281.83.6.pdf" Type="http://schemas.openxmlformats.org/officeDocument/2006/relationships/hyperlink" Id="rId144"/>
    <Relationship TargetMode="External" Target="https://www.legis.iowa.gov/docs/iac/rule/281.72.4.pdf" Type="http://schemas.openxmlformats.org/officeDocument/2006/relationships/hyperlink" Id="rId145"/>
    <Relationship TargetMode="External" Target="https://www.legis.iowa.gov/docs/ico/chapter/280.12.pdf" Type="http://schemas.openxmlformats.org/officeDocument/2006/relationships/hyperlink" Id="rId146"/>
    <Relationship TargetMode="External" Target="https://www.legis.iowa.gov/docs/ico/chapter/280.12.pdf" Type="http://schemas.openxmlformats.org/officeDocument/2006/relationships/hyperlink" Id="rId147"/>
    <Relationship TargetMode="External" Target="https://www.legis.iowa.gov/docs/iac/rule/281.12.8.pdf" Type="http://schemas.openxmlformats.org/officeDocument/2006/relationships/hyperlink" Id="rId148"/>
    <Relationship TargetMode="External" Target="https://www.legis.iowa.gov/docs/iac/rule/281.12.8.pdf" Type="http://schemas.openxmlformats.org/officeDocument/2006/relationships/hyperlink" Id="rId149"/>
    <Relationship TargetMode="External" Target="https://www.legis.iowa.gov/docs/iac/rule/281.12.5.pdf" Type="http://schemas.openxmlformats.org/officeDocument/2006/relationships/hyperlink" Id="rId150"/>
    <Relationship TargetMode="External" Target="https://www.legis.iowa.gov/docs/iac/rule/281.12.5.pdf" Type="http://schemas.openxmlformats.org/officeDocument/2006/relationships/hyperlink" Id="rId151"/>
    <Relationship TargetMode="External" Target="https://www.legis.iowa.gov/docs/ico/chapter/280.12.pdf" Type="http://schemas.openxmlformats.org/officeDocument/2006/relationships/hyperlink" Id="rId152"/>
    <Relationship TargetMode="External" Target="https://www.legis.iowa.gov/docs/iac/rule/281.12.5.pdf" Type="http://schemas.openxmlformats.org/officeDocument/2006/relationships/hyperlink" Id="rId153"/>
    <Relationship TargetMode="External" Target="https://www.legis.iowa.gov/docs/iac/rule/281.12.8.pdf" Type="http://schemas.openxmlformats.org/officeDocument/2006/relationships/hyperlink" Id="rId154"/>
    <Relationship TargetMode="External" Target="https://www.legis.iowa.gov/docs/iac/rule/281.12.5.pdf" Type="http://schemas.openxmlformats.org/officeDocument/2006/relationships/hyperlink" Id="rId155"/>
    <Relationship TargetMode="External" Target="https://www.legis.iowa.gov/docs/iac/rule/281.12.8.pdf" Type="http://schemas.openxmlformats.org/officeDocument/2006/relationships/hyperlink" Id="rId156"/>
    <Relationship TargetMode="External" Target="https://www.legis.iowa.gov/docs/ico/chapter/256.pdf" Type="http://schemas.openxmlformats.org/officeDocument/2006/relationships/hyperlink" Id="rId157"/>
    <Relationship TargetMode="External" Target="https://www.legis.iowa.gov/docs/ico/chapter/256.7.pdf" Type="http://schemas.openxmlformats.org/officeDocument/2006/relationships/hyperlink" Id="rId158"/>
    <Relationship TargetMode="External" Target="https://www.legis.iowa.gov/docs/iac/rule/281.12.8.pdf" Type="http://schemas.openxmlformats.org/officeDocument/2006/relationships/hyperlink" Id="rId159"/>
    <Relationship TargetMode="External" Target="https://www.legis.iowa.gov/docs/iac/rule/281.12.8.pdf" Type="http://schemas.openxmlformats.org/officeDocument/2006/relationships/hyperlink" Id="rId160"/>
    <Relationship TargetMode="External" Target="https://www.legis.iowa.gov/docs/ico/chapter/256.11.pdf" Type="http://schemas.openxmlformats.org/officeDocument/2006/relationships/hyperlink" Id="rId161"/>
    <Relationship TargetMode="External" Target="https://www.legis.iowa.gov/docs/ico/chapter/256.11.pdf" Type="http://schemas.openxmlformats.org/officeDocument/2006/relationships/hyperlink" Id="rId162"/>
    <Relationship TargetMode="External" Target="https://www.legis.iowa.gov/docs/ico/chapter/256.11.pdf" Type="http://schemas.openxmlformats.org/officeDocument/2006/relationships/hyperlink" Id="rId163"/>
    <Relationship TargetMode="External" Target="https://www.legis.iowa.gov/docs/ico/chapter/298A.2.pdf" Type="http://schemas.openxmlformats.org/officeDocument/2006/relationships/hyperlink" Id="rId164"/>
    <Relationship TargetMode="External" Target="https://www.legis.iowa.gov/docs/ico/chapter/256.11.pdf" Type="http://schemas.openxmlformats.org/officeDocument/2006/relationships/hyperlink" Id="rId165"/>
    <Relationship TargetMode="External" Target="https://www.legis.iowa.gov/docs/ico/chapter/256.11.pdf" Type="http://schemas.openxmlformats.org/officeDocument/2006/relationships/hyperlink" Id="rId166"/>
    <Relationship TargetMode="External" Target="https://www.legis.iowa.gov/docs/ico/chapter/256.11.pdf" Type="http://schemas.openxmlformats.org/officeDocument/2006/relationships/hyperlink" Id="rId167"/>
    <Relationship TargetMode="External" Target="https://www.legis.iowa.gov/docs/ico/chapter/256.11.pdf" Type="http://schemas.openxmlformats.org/officeDocument/2006/relationships/hyperlink" Id="rId168"/>
    <Relationship TargetMode="External" Target="https://www.legis.iowa.gov/docs/iac/rule/281.12.10.pdf" Type="http://schemas.openxmlformats.org/officeDocument/2006/relationships/hyperlink" Id="rId169"/>
    <Relationship TargetMode="External" Target="https://www.legis.iowa.gov/docs/iac/rule/281.12.10.pdf" Type="http://schemas.openxmlformats.org/officeDocument/2006/relationships/hyperlink" Id="rId170"/>
    <Relationship TargetMode="External" Target="https://www.legis.iowa.gov/docs/iac/rule/281.12.10.pdf" Type="http://schemas.openxmlformats.org/officeDocument/2006/relationships/hyperlink" Id="rId171"/>
    <Relationship TargetMode="External" Target="https://www.legis.iowa.gov/docs/iac/rule/281.12.10.pdf" Type="http://schemas.openxmlformats.org/officeDocument/2006/relationships/hyperlink" Id="rId172"/>
    <Relationship TargetMode="External" Target="https://www.legis.iowa.gov/docs/iac/rule/281.12.10.pdf" Type="http://schemas.openxmlformats.org/officeDocument/2006/relationships/hyperlink" Id="rId173"/>
    <Relationship TargetMode="External" Target="https://www.legis.iowa.gov/docs/iac/rule/281.12.10.pdf" Type="http://schemas.openxmlformats.org/officeDocument/2006/relationships/hyperlink" Id="rId174"/>
    <Relationship TargetMode="External" Target="https://www.legis.iowa.gov/docs/iac/rule/281.12.10.pdf" Type="http://schemas.openxmlformats.org/officeDocument/2006/relationships/hyperlink" Id="rId175"/>
    <Relationship TargetMode="External" Target="https://www.legis.iowa.gov/docs/ico/chapter/256.11.pdf" Type="http://schemas.openxmlformats.org/officeDocument/2006/relationships/hyperlink" Id="rId176"/>
    <Relationship TargetMode="External" Target="https://www.legis.iowa.gov/docs/iac/rule/281.12.10.pdf" Type="http://schemas.openxmlformats.org/officeDocument/2006/relationships/hyperlink" Id="rId177"/>
    <Relationship TargetMode="External" Target="https://www.legis.iowa.gov/docs/ico/chapter/256.11.pdf" Type="http://schemas.openxmlformats.org/officeDocument/2006/relationships/hyperlink" Id="rId178"/>
    <Relationship TargetMode="External" Target="https://www.legis.iowa.gov/docs/iac/rule/281.12.10.pdf" Type="http://schemas.openxmlformats.org/officeDocument/2006/relationships/hyperlink" Id="rId179"/>
    <Relationship TargetMode="External" Target="https://www.legis.iowa.gov/docs/iac/rule/281.12.10.pdf" Type="http://schemas.openxmlformats.org/officeDocument/2006/relationships/hyperlink" Id="rId180"/>
    <Relationship TargetMode="External" Target="https://www.legis.iowa.gov/docs/iac/rule/281.12.10.pdf" Type="http://schemas.openxmlformats.org/officeDocument/2006/relationships/hyperlink" Id="rId181"/>
    <Relationship TargetMode="External" Target="https://www.legis.iowa.gov/docs/ico/chapter/256.7.pdf" Type="http://schemas.openxmlformats.org/officeDocument/2006/relationships/hyperlink" Id="rId182"/>
    <Relationship TargetMode="External" Target="https://www.legis.iowa.gov/docs/ico/chapter/256.9.pdf" Type="http://schemas.openxmlformats.org/officeDocument/2006/relationships/hyperlink" Id="rId183"/>
    <Relationship TargetMode="External" Target="https://www.legis.iowa.gov/docs/ico/chapter/8.33.pdf" Type="http://schemas.openxmlformats.org/officeDocument/2006/relationships/hyperlink" Id="rId184"/>
    <Relationship TargetMode="External" Target="https://www.legis.iowa.gov/docs/ico/chapter/256.146.pdf" Type="http://schemas.openxmlformats.org/officeDocument/2006/relationships/hyperlink" Id="rId185"/>
    <Relationship TargetMode="External" Target="https://www.legis.iowa.gov/docs/ico/chapter/256.11.pdf" Type="http://schemas.openxmlformats.org/officeDocument/2006/relationships/hyperlink" Id="rId186"/>
    <Relationship TargetMode="External" Target="https://www.legis.iowa.gov/docs/ico/chapter/280.23.pdf" Type="http://schemas.openxmlformats.org/officeDocument/2006/relationships/hyperlink" Id="rId187"/>
    <Relationship TargetMode="External" Target="https://www.legis.iowa.gov/docs/ico/chapter/256.7.pdf" Type="http://schemas.openxmlformats.org/officeDocument/2006/relationships/hyperlink" Id="rId188"/>
    <Relationship TargetMode="External" Target="https://www.legis.iowa.gov/docs/iac/chapter/281.4.pdf" Type="http://schemas.openxmlformats.org/officeDocument/2006/relationships/hyperlink" Id="rId1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