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10.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w:t>
      </w:r>
    </w:p>
    <w:p>
      <w:pPr>
        <w:spacing w:before="0" w:after="0"/>
        <w:ind w:left="120"/>
        <w:jc w:val="center"/>
      </w:pPr>
      <w:r>
        <w:rPr>
          <w:rFonts w:ascii="Times New Roman" w:hAnsi="Times New Roman"/>
          <w:b w:val="false"/>
          <w:i w:val="false"/>
          <w:color w:val="000000"/>
          <w:sz w:val="21"/>
        </w:rPr>
        <w:t>POWER BOILERS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1/14/98, see Labor Services[347] Ch 43, 44]</w:t>
      </w:r>
    </w:p>
    <w:p>
      <w:pPr>
        <w:spacing w:before="0" w:after="0"/>
        <w:ind w:left="120"/>
        <w:jc w:val="center"/>
      </w:pPr>
      <w:r>
        <w:rPr>
          <w:rFonts w:ascii="Times New Roman" w:hAnsi="Times New Roman"/>
          <w:b w:val="false"/>
          <w:i w:val="false"/>
          <w:color w:val="000000"/>
          <w:sz w:val="14"/>
        </w:rPr>
        <w:t>[Prior to 8/16/06, see 875—Chs 204, 205]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875—92.1</w:t>
      </w:r>
      <w:r>
        <w:rPr>
          <w:rFonts w:ascii="Times New Roman" w:hAnsi="Times New Roman"/>
          <w:b/>
          <w:i w:val="false"/>
          <w:color w:val="000000"/>
          <w:sz w:val="22"/>
        </w:rPr>
        <w:t xml:space="preserve">(89)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applies to all power boilers, and it applies to miniature power boilers installed on and after September 20, 2006. </w:t>
      </w:r>
      <w:hyperlink r:id="rId5">
        <w:r>
          <w:rPr>
            <w:rStyle w:val="Hyperlink"/>
            <w:rFonts w:ascii="Times New Roman" w:hAnsi="Times New Roman"/>
            <w:b w:val="false"/>
            <w:i w:val="false"/>
            <w:color w:val="000000"/>
            <w:sz w:val="22"/>
          </w:rPr>
          <w:t>875—Chapter 93</w:t>
        </w:r>
      </w:hyperlink>
      <w:r>
        <w:rPr>
          <w:rFonts w:ascii="Times New Roman" w:hAnsi="Times New Roman"/>
          <w:b w:val="false"/>
          <w:i w:val="false"/>
          <w:color w:val="000000"/>
          <w:sz w:val="22"/>
        </w:rPr>
        <w:t xml:space="preserve"> applies to miniature power boilers installed prior to September 20, 2006.</w:t>
      </w:r>
    </w:p>
    <w:p>
      <w:pPr>
        <w:spacing w:before="0" w:after="0"/>
        <w:ind w:left="120"/>
        <w:jc w:val="both"/>
      </w:pPr>
      <w:r>
        <w:rPr>
          <w:rFonts w:ascii="Times New Roman" w:hAnsi="Times New Roman"/>
          <w:b/>
          <w:i w:val="false"/>
          <w:color w:val="000000"/>
          <w:sz w:val="22"/>
        </w:rPr>
        <w:t>875—92.2</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adopted by reference. </w:t>
      </w:r>
      <w:r>
        <w:rPr>
          <w:rFonts w:ascii="Times New Roman" w:hAnsi="Times New Roman"/>
          <w:b w:val="false"/>
          <w:i w:val="false"/>
          <w:color w:val="000000"/>
          <w:sz w:val="22"/>
        </w:rPr>
        <w:t xml:space="preserve">The codes listed in </w:t>
      </w:r>
      <w:hyperlink r:id="rId6">
        <w:r>
          <w:rPr>
            <w:rStyle w:val="Hyperlink"/>
            <w:rFonts w:ascii="Times New Roman" w:hAnsi="Times New Roman"/>
            <w:b w:val="false"/>
            <w:i w:val="false"/>
            <w:color w:val="000000"/>
            <w:sz w:val="22"/>
          </w:rPr>
          <w:t>875—Chapter 91</w:t>
        </w:r>
      </w:hyperlink>
      <w:r>
        <w:rPr>
          <w:rFonts w:ascii="Times New Roman" w:hAnsi="Times New Roman"/>
          <w:b w:val="false"/>
          <w:i w:val="false"/>
          <w:color w:val="000000"/>
          <w:sz w:val="22"/>
        </w:rPr>
        <w:t xml:space="preserve"> apply to objects covered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8283B</w:t>
      </w:r>
      <w:r>
        <w:rPr>
          <w:rFonts w:ascii="Times New Roman" w:hAnsi="Times New Roman"/>
          <w:b w:val="false"/>
          <w:i w:val="false"/>
          <w:color w:val="000000"/>
          <w:sz w:val="16"/>
        </w:rPr>
        <w:t>, IAB 11/18/09, effective 1/1/10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875—92.3</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adopted by reference.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11/18/09</w:t>
      </w:r>
      <w:r>
        <w:rPr>
          <w:rFonts w:ascii="Times New Roman" w:hAnsi="Times New Roman"/>
          <w:b w:val="false"/>
          <w:i w:val="false"/>
          <w:color w:val="000000"/>
          <w:sz w:val="22"/>
        </w:rPr>
        <w:t>, effective 1/1/10.</w:t>
      </w:r>
    </w:p>
    <w:p>
      <w:pPr>
        <w:spacing w:before="0" w:after="0"/>
        <w:ind w:left="120"/>
        <w:jc w:val="both"/>
      </w:pPr>
      <w:r>
        <w:rPr>
          <w:rFonts w:ascii="Times New Roman" w:hAnsi="Times New Roman"/>
          <w:b/>
          <w:i w:val="false"/>
          <w:color w:val="000000"/>
          <w:sz w:val="22"/>
        </w:rPr>
        <w:t>875—92.4</w:t>
      </w:r>
      <w:r>
        <w:rPr>
          <w:rFonts w:ascii="Times New Roman" w:hAnsi="Times New Roman"/>
          <w:b/>
          <w:i w:val="false"/>
          <w:color w:val="000000"/>
          <w:sz w:val="22"/>
        </w:rPr>
        <w:t xml:space="preserve">(89) </w:t>
      </w:r>
      <w:r>
        <w:rPr>
          <w:rFonts w:ascii="Times New Roman" w:hAnsi="Times New Roman"/>
          <w:b/>
          <w:i w:val="false"/>
          <w:color w:val="000000"/>
          <w:sz w:val="22"/>
        </w:rPr>
        <w:t xml:space="preserve">Maximum allowable working pressure for steel boilers. </w:t>
      </w:r>
      <w:r>
        <w:rPr>
          <w:rFonts w:ascii="Times New Roman" w:hAnsi="Times New Roman"/>
          <w:b w:val="false"/>
          <w:i w:val="false"/>
          <w:color w:val="000000"/>
          <w:sz w:val="22"/>
        </w:rPr>
        <w:t xml:space="preserve">This rule applies to power boilers installed prior to July 1, 1983. A boiler constructed with fusion-welded seams and not radiographed and stress relieved during construction shall not be operated at a pressure in excess of 15 pounds per square inch. Boilers with fusion-welded seams that are radiographed and stress relieved and constructed to ASME Code requirements in effect when the boiler was constructed may be operated at a pressure as established in subrules </w:t>
      </w:r>
      <w:hyperlink r:id="rId7">
        <w:r>
          <w:rPr>
            <w:rStyle w:val="Hyperlink"/>
            <w:rFonts w:ascii="Times New Roman" w:hAnsi="Times New Roman"/>
            <w:b w:val="false"/>
            <w:i w:val="false"/>
            <w:color w:val="000000"/>
            <w:sz w:val="22"/>
          </w:rPr>
          <w:t>92.4(1)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92.4(1)</w:t>
      </w:r>
      <w:r>
        <w:rPr>
          <w:rFonts w:ascii="Times New Roman" w:hAnsi="Times New Roman"/>
          <w:b w:val="false"/>
          <w:i w:val="false"/>
          <w:color w:val="000000"/>
          <w:sz w:val="22"/>
        </w:rPr>
        <w:t> </w:t>
      </w:r>
      <w:r>
        <w:rPr>
          <w:rFonts w:ascii="Times New Roman" w:hAnsi="Times New Roman"/>
          <w:b w:val="false"/>
          <w:i/>
          <w:color w:val="000000"/>
          <w:sz w:val="22"/>
        </w:rPr>
        <w:t xml:space="preserve">Calculation. </w:t>
      </w:r>
      <w:r>
        <w:rPr>
          <w:rFonts w:ascii="Times New Roman" w:hAnsi="Times New Roman"/>
          <w:b w:val="false"/>
          <w:i w:val="false"/>
          <w:color w:val="000000"/>
          <w:sz w:val="22"/>
        </w:rPr>
        <w:t>The maximum allowable working pressure on the shell of a boiler shall be determined by the strength of the weakest course computed from the thickness of the plate, the tensile strength of the plate, the efficiency of the longitudinal joint, the inside diameter of the course, and the factor of safety allowed by these rules. The formula for determining the maximum allowable working pressure is:</w:t>
      </w:r>
    </w:p>
    <w:tbl>
      <w:tblPr>
        <w:tblW w:w="5000" w:type="pct"/>
        <w:tblCellSpacing w:w="0" w:type="auto"/>
        <w:tblBorders>
          <w:top w:val="none"/>
          <w:left w:val="none"/>
          <w:bottom w:val="none"/>
          <w:right w:val="none"/>
          <w:insideH w:val="none"/>
          <w:insideV w:val="none"/>
        </w:tblBorders>
        <w:tblLayout w:type="fixed"/>
      </w:tblPr>
      <w:tblGrid>
        <w:gridCol w:w="1178"/>
        <w:gridCol w:w="904"/>
        <w:gridCol w:w="9107"/>
      </w:tblGrid>
      <w:tr>
        <w:trPr>
          <w:trHeight w:val="390" w:hRule="atLeast"/>
        </w:trPr>
        <w:tc>
          <w:tcPr>
            <w:tcW w:w="1178"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u w:val="single"/>
              </w:rPr>
              <w:t>TStE</w:t>
            </w:r>
          </w:p>
          <w:p>
            <w:pPr>
              <w:spacing w:before="0" w:after="0"/>
              <w:ind w:left="160"/>
              <w:jc w:val="center"/>
            </w:pPr>
            <w:r>
              <w:rPr>
                <w:rFonts w:ascii="Times New Roman" w:hAnsi="Times New Roman"/>
                <w:b w:val="false"/>
                <w:i w:val="false"/>
                <w:color w:val="000000"/>
                <w:sz w:val="16"/>
              </w:rPr>
              <w:t>RFS</w:t>
            </w:r>
          </w:p>
        </w:tc>
        <w:tc>
          <w:tcPr>
            <w:tcW w:w="90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9107"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16"/>
              </w:rPr>
              <w:t>Maximum allowable working pressure, psig.</w:t>
            </w:r>
          </w:p>
        </w:tc>
      </w:tr>
      <w:tr>
        <w:trPr>
          <w:trHeight w:val="210" w:hRule="atLeast"/>
        </w:trPr>
        <w:tc>
          <w:tcPr>
            <w:tcW w:w="11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0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Where:</w:t>
            </w:r>
          </w:p>
        </w:tc>
      </w:tr>
      <w:tr>
        <w:trPr>
          <w:trHeight w:val="390" w:hRule="atLeast"/>
        </w:trPr>
        <w:tc>
          <w:tcPr>
            <w:tcW w:w="11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TS</w:t>
            </w:r>
          </w:p>
        </w:tc>
        <w:tc>
          <w:tcPr>
            <w:tcW w:w="9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910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Ultimate tensile strength of shell plate(s), psig. When the tensile strength of a steel plate(s) is unknown, it shall be taken as 55,000 psig for temperatures not exceeding 650 degrees F.</w:t>
            </w:r>
          </w:p>
        </w:tc>
      </w:tr>
      <w:tr>
        <w:trPr>
          <w:trHeight w:val="210" w:hRule="atLeast"/>
        </w:trPr>
        <w:tc>
          <w:tcPr>
            <w:tcW w:w="11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w:t>
            </w:r>
          </w:p>
        </w:tc>
        <w:tc>
          <w:tcPr>
            <w:tcW w:w="9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910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Minimum thickness of shell plates of the weakest course, in inches.</w:t>
            </w:r>
          </w:p>
        </w:tc>
      </w:tr>
      <w:tr>
        <w:trPr>
          <w:trHeight w:val="210" w:hRule="atLeast"/>
        </w:trPr>
        <w:tc>
          <w:tcPr>
            <w:tcW w:w="11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w:t>
            </w:r>
          </w:p>
        </w:tc>
        <w:tc>
          <w:tcPr>
            <w:tcW w:w="9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910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Efficiency of longitudinal joint calculated pursuant to construction or installation code.</w:t>
            </w:r>
          </w:p>
        </w:tc>
      </w:tr>
      <w:tr>
        <w:trPr>
          <w:trHeight w:val="210" w:hRule="atLeast"/>
        </w:trPr>
        <w:tc>
          <w:tcPr>
            <w:tcW w:w="11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w:t>
            </w:r>
          </w:p>
        </w:tc>
        <w:tc>
          <w:tcPr>
            <w:tcW w:w="9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910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Inside radius of the weakest course of the shell or drum, in inches.</w:t>
            </w:r>
          </w:p>
        </w:tc>
      </w:tr>
      <w:tr>
        <w:trPr>
          <w:trHeight w:val="210" w:hRule="atLeast"/>
        </w:trPr>
        <w:tc>
          <w:tcPr>
            <w:tcW w:w="11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FS</w:t>
            </w:r>
          </w:p>
        </w:tc>
        <w:tc>
          <w:tcPr>
            <w:tcW w:w="9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9107"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 xml:space="preserve">Factor of safety specified in subrule </w:t>
            </w:r>
            <w:hyperlink r:id="rId9">
              <w:r>
                <w:rPr>
                  <w:rStyle w:val="Hyperlink"/>
                  <w:rFonts w:ascii="Times New Roman" w:hAnsi="Times New Roman"/>
                  <w:b w:val="false"/>
                  <w:i w:val="false"/>
                  <w:color w:val="000000"/>
                  <w:sz w:val="16"/>
                </w:rPr>
                <w:t>92.4(2)</w:t>
              </w:r>
            </w:hyperlink>
            <w:r>
              <w:rPr>
                <w:rFonts w:ascii="Times New Roman" w:hAnsi="Times New Roman"/>
                <w:b w:val="false"/>
                <w:i w:val="false"/>
                <w:color w:val="000000"/>
                <w:sz w:val="16"/>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92.4(2)</w:t>
      </w:r>
      <w:r>
        <w:rPr>
          <w:rFonts w:ascii="Times New Roman" w:hAnsi="Times New Roman"/>
          <w:b w:val="false"/>
          <w:i w:val="false"/>
          <w:color w:val="000000"/>
          <w:sz w:val="22"/>
        </w:rPr>
        <w:t> </w:t>
      </w:r>
      <w:r>
        <w:rPr>
          <w:rFonts w:ascii="Times New Roman" w:hAnsi="Times New Roman"/>
          <w:b w:val="false"/>
          <w:i/>
          <w:color w:val="000000"/>
          <w:sz w:val="22"/>
        </w:rPr>
        <w:t xml:space="preserve">Factor of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lowest factor of safety on boilers shall be four, except for horizontal tubular boilers having continuous lap seams more than 12 feet in length where the factor of safety shall be 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Boilers that are reinstalled and have lap riveted construction or seams of butt and double strap riveted construction shall use ASME Code, Section I (1971).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0319C</w:t>
      </w:r>
      <w:r>
        <w:rPr>
          <w:rFonts w:ascii="Times New Roman" w:hAnsi="Times New Roman"/>
          <w:b w:val="false"/>
          <w:i w:val="false"/>
          <w:color w:val="000000"/>
          <w:sz w:val="16"/>
        </w:rPr>
        <w:t>, IAB 9/5/12, effective 10/10/12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875—92.5</w:t>
      </w:r>
      <w:r>
        <w:rPr>
          <w:rFonts w:ascii="Times New Roman" w:hAnsi="Times New Roman"/>
          <w:b/>
          <w:i w:val="false"/>
          <w:color w:val="000000"/>
          <w:sz w:val="22"/>
        </w:rPr>
        <w:t xml:space="preserve">(89) </w:t>
      </w:r>
      <w:r>
        <w:rPr>
          <w:rFonts w:ascii="Times New Roman" w:hAnsi="Times New Roman"/>
          <w:b/>
          <w:i w:val="false"/>
          <w:color w:val="000000"/>
          <w:sz w:val="22"/>
        </w:rPr>
        <w:t xml:space="preserve">Maximum allowable working pressure and temperature for cast iron headers and mud drums. </w:t>
      </w:r>
      <w:r>
        <w:rPr>
          <w:rFonts w:ascii="Times New Roman" w:hAnsi="Times New Roman"/>
          <w:b w:val="false"/>
          <w:i w:val="false"/>
          <w:color w:val="000000"/>
          <w:sz w:val="22"/>
        </w:rPr>
        <w:t>This rule applies to power boilers installed prior to July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92.5(1)</w:t>
      </w:r>
      <w:r>
        <w:rPr>
          <w:rFonts w:ascii="Times New Roman" w:hAnsi="Times New Roman"/>
          <w:b w:val="false"/>
          <w:i w:val="false"/>
          <w:color w:val="000000"/>
          <w:sz w:val="22"/>
        </w:rPr>
        <w:t> </w:t>
      </w:r>
      <w:r>
        <w:rPr>
          <w:rFonts w:ascii="Times New Roman" w:hAnsi="Times New Roman"/>
          <w:b w:val="false"/>
          <w:i/>
          <w:color w:val="000000"/>
          <w:sz w:val="22"/>
        </w:rPr>
        <w:t xml:space="preserve">Tube boiler. </w:t>
      </w:r>
      <w:r>
        <w:rPr>
          <w:rFonts w:ascii="Times New Roman" w:hAnsi="Times New Roman"/>
          <w:b w:val="false"/>
          <w:i w:val="false"/>
          <w:color w:val="000000"/>
          <w:sz w:val="22"/>
        </w:rPr>
        <w:t>The maximum allowable working pressure on a watertube boiler, the tubes of which are secured in cast iron or malleable iron headers or which have cast iron mud drums, shall not exceed 160 psig or a temperature of 250°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92.5(2)</w:t>
      </w:r>
      <w:r>
        <w:rPr>
          <w:rFonts w:ascii="Times New Roman" w:hAnsi="Times New Roman"/>
          <w:b w:val="false"/>
          <w:i w:val="false"/>
          <w:color w:val="000000"/>
          <w:sz w:val="22"/>
        </w:rPr>
        <w:t> </w:t>
      </w:r>
      <w:r>
        <w:rPr>
          <w:rFonts w:ascii="Times New Roman" w:hAnsi="Times New Roman"/>
          <w:b w:val="false"/>
          <w:i/>
          <w:color w:val="000000"/>
          <w:sz w:val="22"/>
        </w:rPr>
        <w:t xml:space="preserve">Maximum steam pressure. </w:t>
      </w:r>
      <w:r>
        <w:rPr>
          <w:rFonts w:ascii="Times New Roman" w:hAnsi="Times New Roman"/>
          <w:b w:val="false"/>
          <w:i w:val="false"/>
          <w:color w:val="000000"/>
          <w:sz w:val="22"/>
        </w:rPr>
        <w:t>The maximum steam pressure on any boiler constructed of cast iron in which steam is generated shall be 15 psig.</w:t>
      </w:r>
    </w:p>
    <w:p>
      <w:pPr>
        <w:spacing w:before="210" w:after="0"/>
        <w:ind w:left="120"/>
        <w:jc w:val="both"/>
      </w:pPr>
      <w:r>
        <w:rPr>
          <w:rFonts w:ascii="Times New Roman" w:hAnsi="Times New Roman"/>
          <w:b/>
          <w:i w:val="false"/>
          <w:color w:val="000000"/>
          <w:sz w:val="22"/>
        </w:rPr>
        <w:t>875—92.6</w:t>
      </w:r>
      <w:r>
        <w:rPr>
          <w:rFonts w:ascii="Times New Roman" w:hAnsi="Times New Roman"/>
          <w:b/>
          <w:i w:val="false"/>
          <w:color w:val="000000"/>
          <w:sz w:val="22"/>
        </w:rPr>
        <w:t xml:space="preserve">(89) </w:t>
      </w:r>
      <w:r>
        <w:rPr>
          <w:rFonts w:ascii="Times New Roman" w:hAnsi="Times New Roman"/>
          <w:b/>
          <w:i w:val="false"/>
          <w:color w:val="000000"/>
          <w:sz w:val="22"/>
        </w:rPr>
        <w:t xml:space="preserve">Rivets. </w:t>
      </w:r>
      <w:r>
        <w:rPr>
          <w:rFonts w:ascii="Times New Roman" w:hAnsi="Times New Roman"/>
          <w:b w:val="false"/>
          <w:i w:val="false"/>
          <w:color w:val="000000"/>
          <w:sz w:val="22"/>
        </w:rPr>
        <w:t>This rule applies to power boilers installed prior to July 1, 1983. When the diameter of the rivet holes in the longitudinal joints of a boiler is not known, the diameter and cross-sectional area of rivets, after driving, shall be selected from ASME Code, Section I (1971).</w:t>
      </w:r>
    </w:p>
    <w:p>
      <w:pPr>
        <w:spacing w:before="0" w:after="0"/>
        <w:ind w:left="120"/>
        <w:jc w:val="both"/>
      </w:pPr>
      <w:r>
        <w:rPr>
          <w:rFonts w:ascii="Times New Roman" w:hAnsi="Times New Roman"/>
          <w:b/>
          <w:i w:val="false"/>
          <w:color w:val="000000"/>
          <w:sz w:val="22"/>
        </w:rPr>
        <w:t>875—92.7</w:t>
      </w:r>
      <w:r>
        <w:rPr>
          <w:rFonts w:ascii="Times New Roman" w:hAnsi="Times New Roman"/>
          <w:b/>
          <w:i w:val="false"/>
          <w:color w:val="000000"/>
          <w:sz w:val="22"/>
        </w:rPr>
        <w:t xml:space="preserve">(89) </w:t>
      </w:r>
      <w:r>
        <w:rPr>
          <w:rFonts w:ascii="Times New Roman" w:hAnsi="Times New Roman"/>
          <w:b/>
          <w:i w:val="false"/>
          <w:color w:val="000000"/>
          <w:sz w:val="22"/>
        </w:rPr>
        <w:t xml:space="preserve">Safety valves. </w:t>
      </w:r>
      <w:r>
        <w:rPr>
          <w:rFonts w:ascii="Times New Roman" w:hAnsi="Times New Roman"/>
          <w:b w:val="false"/>
          <w:i w:val="false"/>
          <w:color w:val="000000"/>
          <w:sz w:val="22"/>
        </w:rPr>
        <w:t>This rule applies to power boilers installed prior to July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92.7(1)</w:t>
      </w:r>
      <w:r>
        <w:rPr>
          <w:rFonts w:ascii="Times New Roman" w:hAnsi="Times New Roman"/>
          <w:b w:val="false"/>
          <w:i w:val="false"/>
          <w:color w:val="000000"/>
          <w:sz w:val="22"/>
        </w:rPr>
        <w:t> </w:t>
      </w:r>
      <w:r>
        <w:rPr>
          <w:rFonts w:ascii="Times New Roman" w:hAnsi="Times New Roman"/>
          <w:b w:val="false"/>
          <w:i w:val="false"/>
          <w:color w:val="000000"/>
          <w:sz w:val="22"/>
        </w:rPr>
        <w:t>The use of weighted-lever safety valves or safety valves having either the seat or disk of cast iron is prohibited. All power boilers shall have direct, springloaded, pop-type safety valves that conform to the construction or installation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92.7(2)</w:t>
      </w:r>
      <w:r>
        <w:rPr>
          <w:rFonts w:ascii="Times New Roman" w:hAnsi="Times New Roman"/>
          <w:b w:val="false"/>
          <w:i w:val="false"/>
          <w:color w:val="000000"/>
          <w:sz w:val="22"/>
        </w:rPr>
        <w:t> </w:t>
      </w:r>
      <w:r>
        <w:rPr>
          <w:rFonts w:ascii="Times New Roman" w:hAnsi="Times New Roman"/>
          <w:b w:val="false"/>
          <w:i w:val="false"/>
          <w:color w:val="000000"/>
          <w:sz w:val="22"/>
        </w:rPr>
        <w:t>Each boiler shall have at least one safety valve. All boilers with more than 500 square feet of water heating surface or an electric power input of more than 1100 kilowatts shall have two or more safety valves.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92.7(3)</w:t>
      </w:r>
      <w:r>
        <w:rPr>
          <w:rFonts w:ascii="Times New Roman" w:hAnsi="Times New Roman"/>
          <w:b w:val="false"/>
          <w:i w:val="false"/>
          <w:color w:val="000000"/>
          <w:sz w:val="22"/>
        </w:rPr>
        <w:t> </w:t>
      </w:r>
      <w:r>
        <w:rPr>
          <w:rFonts w:ascii="Times New Roman" w:hAnsi="Times New Roman"/>
          <w:b w:val="false"/>
          <w:i w:val="false"/>
          <w:color w:val="000000"/>
          <w:sz w:val="22"/>
        </w:rPr>
        <w:t>The safety valve or valves shall be connected to the boiler independent of any other steam connection and attached as close as possible to the boiler without unnecessary intervening pipe or fittings.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92.7(4)</w:t>
      </w:r>
      <w:r>
        <w:rPr>
          <w:rFonts w:ascii="Times New Roman" w:hAnsi="Times New Roman"/>
          <w:b w:val="false"/>
          <w:i w:val="false"/>
          <w:color w:val="000000"/>
          <w:sz w:val="22"/>
        </w:rPr>
        <w:t> </w:t>
      </w:r>
      <w:r>
        <w:rPr>
          <w:rFonts w:ascii="Times New Roman" w:hAnsi="Times New Roman"/>
          <w:b w:val="false"/>
          <w:i w:val="false"/>
          <w:color w:val="000000"/>
          <w:sz w:val="22"/>
        </w:rPr>
        <w:t>No valves of any type shall be placed between the safety valve and the boiler. If an escape pipe is used, no valve shall be placed between the safety valve and the atmosphere. When an escape pipe is used, it shall be at least full size of the safety valve discharge and fitted with an open drain to prevent water lodging in the upper part of the safety valve or escape pipe. Any elbow on an escape pipe shall be located close to the safety valve outlet or the escape pipe and shall be anchored and supported securely. All safety valve discharges shall be so located or piped as to be carried away from walkways or platforms. When the safety valve is vented to the outside atmosphere, the second escape pipe shall be arranged as shown in Figure 1.</w:t>
      </w:r>
    </w:p>
    <w:p>
      <w:pPr>
        <w:spacing w:before="0" w:after="0"/>
        <w:ind w:left="120"/>
        <w:jc w:val="both"/>
      </w:pPr>
      <w:r>
        <w:drawing>
          <wp:inline distT="0" distB="0" distL="0" distR="0">
            <wp:extent cx="4495800" cy="454342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0"/>
                    <a:stretch>
                      <a:fillRect/>
                    </a:stretch>
                  </pic:blipFill>
                  <pic:spPr>
                    <a:xfrm>
                      <a:off x="0" y="0"/>
                      <a:ext cx="4495800" cy="45434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92.7(5)</w:t>
      </w:r>
      <w:r>
        <w:rPr>
          <w:rFonts w:ascii="Times New Roman" w:hAnsi="Times New Roman"/>
          <w:b w:val="false"/>
          <w:i w:val="false"/>
          <w:color w:val="000000"/>
          <w:sz w:val="22"/>
        </w:rPr>
        <w:t> </w:t>
      </w:r>
      <w:r>
        <w:rPr>
          <w:rFonts w:ascii="Times New Roman" w:hAnsi="Times New Roman"/>
          <w:b w:val="false"/>
          <w:i w:val="false"/>
          <w:color w:val="000000"/>
          <w:sz w:val="22"/>
        </w:rPr>
        <w:t>The safety valve capacity of each boiler shall be such that the safety valve or valves will discharge all the steam that can be generated by the boiler without allowing the pressure to rise more than 5 percent above the highest pressure to which any valve is set and in no case to more than 6 percent above maximum allowable working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92.7(6)</w:t>
      </w:r>
      <w:r>
        <w:rPr>
          <w:rFonts w:ascii="Times New Roman" w:hAnsi="Times New Roman"/>
          <w:b w:val="false"/>
          <w:i w:val="false"/>
          <w:color w:val="000000"/>
          <w:sz w:val="22"/>
        </w:rPr>
        <w:t> </w:t>
      </w:r>
      <w:r>
        <w:rPr>
          <w:rFonts w:ascii="Times New Roman" w:hAnsi="Times New Roman"/>
          <w:b w:val="false"/>
          <w:i w:val="false"/>
          <w:color w:val="000000"/>
          <w:sz w:val="22"/>
        </w:rPr>
        <w:t>One or more safety valves on every boiler shall be set at or below the maximum allowable working pressure. The remaining valves may be set within a range of 3 percent above the maximum allowable working pressure, but the range setting of all the safety valves on a boiler shall not exceed 10 percent of the highest pressure at which any valve is 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92.7(7)</w:t>
      </w:r>
      <w:r>
        <w:rPr>
          <w:rFonts w:ascii="Times New Roman" w:hAnsi="Times New Roman"/>
          <w:b w:val="false"/>
          <w:i w:val="false"/>
          <w:color w:val="000000"/>
          <w:sz w:val="22"/>
        </w:rPr>
        <w:t> </w:t>
      </w:r>
      <w:r>
        <w:rPr>
          <w:rFonts w:ascii="Times New Roman" w:hAnsi="Times New Roman"/>
          <w:b w:val="false"/>
          <w:i w:val="false"/>
          <w:color w:val="000000"/>
          <w:sz w:val="22"/>
        </w:rPr>
        <w:t>When two or more boilers operating at different pressures and safety valve settings are interconnected, the lowest pressure boilers or interconnected piping shall be equipped with safety valves of sufficient capacity to prevent overpressure, considering the maximum generating capacity of all boilers.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92.7(8)</w:t>
      </w:r>
      <w:r>
        <w:rPr>
          <w:rFonts w:ascii="Times New Roman" w:hAnsi="Times New Roman"/>
          <w:b w:val="false"/>
          <w:i w:val="false"/>
          <w:color w:val="000000"/>
          <w:sz w:val="22"/>
        </w:rPr>
        <w:t> </w:t>
      </w:r>
      <w:r>
        <w:rPr>
          <w:rFonts w:ascii="Times New Roman" w:hAnsi="Times New Roman"/>
          <w:b w:val="false"/>
          <w:i w:val="false"/>
          <w:color w:val="000000"/>
          <w:sz w:val="22"/>
        </w:rPr>
        <w:t>In those cases where the boiler is supplied with feedwater directly from water mains without the use of feeding apparatus (not including return traps), safety valves shall not be set at a pressure greater than 94 percent of the lowest pressure maintained in the supply main feeding the boiler.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92.7(9)</w:t>
      </w:r>
      <w:r>
        <w:rPr>
          <w:rFonts w:ascii="Times New Roman" w:hAnsi="Times New Roman"/>
          <w:b w:val="false"/>
          <w:i w:val="false"/>
          <w:color w:val="000000"/>
          <w:sz w:val="22"/>
        </w:rPr>
        <w:t> </w:t>
      </w:r>
      <w:r>
        <w:rPr>
          <w:rFonts w:ascii="Times New Roman" w:hAnsi="Times New Roman"/>
          <w:b w:val="false"/>
          <w:i w:val="false"/>
          <w:color w:val="000000"/>
          <w:sz w:val="22"/>
        </w:rPr>
        <w:t>The minimum safety valve relieving capacity shall be determined on the basis of the pounds of steam generated per hour per square foot of boiler heating surface and waterwall heating surface as given in the following table. This method shall not be used on electric boilers, waste heat boilers and forced-flow steam generators without a fixed steam and water line.</w:t>
      </w:r>
    </w:p>
    <w:p>
      <w:pPr>
        <w:spacing w:before="60" w:after="0"/>
        <w:ind w:left="120"/>
        <w:jc w:val="center"/>
      </w:pPr>
      <w:r>
        <w:rPr>
          <w:rFonts w:ascii="Times New Roman" w:hAnsi="Times New Roman"/>
          <w:b w:val="false"/>
          <w:i w:val="false"/>
          <w:color w:val="000000"/>
          <w:sz w:val="22"/>
        </w:rPr>
        <w:t>Minimum Pounds of Steam Per Hour Per Square</w:t>
      </w:r>
    </w:p>
    <w:p>
      <w:pPr>
        <w:spacing w:before="60" w:after="0"/>
        <w:ind w:left="120"/>
        <w:jc w:val="center"/>
      </w:pPr>
      <w:r>
        <w:rPr>
          <w:rFonts w:ascii="Times New Roman" w:hAnsi="Times New Roman"/>
          <w:b w:val="false"/>
          <w:i w:val="false"/>
          <w:color w:val="000000"/>
          <w:sz w:val="22"/>
        </w:rPr>
        <w:t>Foot of Heating Surface</w:t>
      </w:r>
    </w:p>
    <w:tbl>
      <w:tblPr>
        <w:tblW w:w="5000" w:type="pct"/>
        <w:tblCellSpacing w:w="0" w:type="auto"/>
        <w:tblBorders>
          <w:top w:val="none"/>
          <w:left w:val="none"/>
          <w:bottom w:val="none"/>
          <w:right w:val="none"/>
          <w:insideH w:val="none"/>
          <w:insideV w:val="none"/>
        </w:tblBorders>
        <w:tblLayout w:type="fixed"/>
      </w:tblPr>
      <w:tblGrid>
        <w:gridCol w:w="6926"/>
        <w:gridCol w:w="1646"/>
        <w:gridCol w:w="973"/>
        <w:gridCol w:w="1645"/>
      </w:tblGrid>
      <w:tr>
        <w:trPr>
          <w:trHeight w:val="390" w:hRule="atLeast"/>
        </w:trPr>
        <w:tc>
          <w:tcPr>
            <w:tcW w:w="692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Boiler Heating Surface:</w:t>
            </w:r>
          </w:p>
        </w:tc>
        <w:tc>
          <w:tcPr>
            <w:tcW w:w="164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Firetube</w:t>
            </w:r>
          </w:p>
          <w:p>
            <w:pPr>
              <w:spacing w:before="0" w:after="0"/>
              <w:ind w:left="160"/>
              <w:jc w:val="center"/>
            </w:pPr>
            <w:r>
              <w:rPr>
                <w:rFonts w:ascii="Times New Roman" w:hAnsi="Times New Roman"/>
                <w:b w:val="false"/>
                <w:i w:val="false"/>
                <w:color w:val="000000"/>
                <w:sz w:val="16"/>
              </w:rPr>
              <w:t>Boilers</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Watertube</w:t>
            </w:r>
          </w:p>
          <w:p>
            <w:pPr>
              <w:spacing w:before="0" w:after="0"/>
              <w:ind w:left="160"/>
              <w:jc w:val="center"/>
            </w:pPr>
            <w:r>
              <w:rPr>
                <w:rFonts w:ascii="Times New Roman" w:hAnsi="Times New Roman"/>
                <w:b w:val="false"/>
                <w:i w:val="false"/>
                <w:color w:val="000000"/>
                <w:sz w:val="16"/>
              </w:rPr>
              <w:t>Boilers</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Hand Fired</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Stoker Fired</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Oil, Gas, or Pulverized Fuel Fires</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Waterwall Heating Surface:</w:t>
            </w:r>
          </w:p>
        </w:tc>
        <w:tc>
          <w:tcPr>
            <w:tcW w:w="16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Hand Fired</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Stoker Fired</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w:t>
            </w:r>
          </w:p>
        </w:tc>
      </w:tr>
      <w:tr>
        <w:trPr>
          <w:trHeight w:val="210" w:hRule="atLeast"/>
        </w:trPr>
        <w:tc>
          <w:tcPr>
            <w:tcW w:w="69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Oil, Gas, or Pulverized Fuel Fires</w:t>
            </w:r>
          </w:p>
        </w:tc>
        <w:tc>
          <w:tcPr>
            <w:tcW w:w="164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14</w:t>
            </w:r>
          </w:p>
        </w:tc>
        <w:tc>
          <w:tcPr>
            <w:tcW w:w="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4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92.7(10)</w:t>
      </w:r>
      <w:r>
        <w:rPr>
          <w:rFonts w:ascii="Times New Roman" w:hAnsi="Times New Roman"/>
          <w:b w:val="false"/>
          <w:i w:val="false"/>
          <w:color w:val="000000"/>
          <w:sz w:val="22"/>
        </w:rPr>
        <w:t> </w:t>
      </w:r>
      <w:r>
        <w:rPr>
          <w:rFonts w:ascii="Times New Roman" w:hAnsi="Times New Roman"/>
          <w:b w:val="false"/>
          <w:i w:val="false"/>
          <w:color w:val="000000"/>
          <w:sz w:val="22"/>
        </w:rPr>
        <w:t>Safety valve sizing</w:t>
      </w:r>
      <w:r>
        <w:rPr>
          <w:rFonts w:ascii="Times New Roman" w:hAnsi="Times New Roman"/>
          <w:b w:val="false"/>
          <w:i/>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boiler is fired only by a gas having a heat value not in excess of 200 Btu’s per cubic feet the minimum safety valve relieving capacity may be based on the value given for hand-fired boilers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minimum safety valve relieving capacity for electric boilers shall be 3½ pounds per hour per kilowatt input.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Maximum steaming capacity for safety valves shall be the value stated on design documents or shall be calculated by multiplying horsepower by 34.5.</w:t>
      </w:r>
    </w:p>
    <w:p>
      <w:pPr>
        <w:spacing w:before="0" w:after="0"/>
        <w:ind w:left="120"/>
        <w:jc w:val="both"/>
      </w:pPr>
      <w:r>
        <w:rPr>
          <w:rFonts w:ascii="Times New Roman" w:hAnsi="Times New Roman"/>
          <w:b/>
          <w:i w:val="false"/>
          <w:color w:val="000000"/>
          <w:sz w:val="22"/>
        </w:rPr>
        <w:t>875—92.8</w:t>
      </w:r>
      <w:r>
        <w:rPr>
          <w:rFonts w:ascii="Times New Roman" w:hAnsi="Times New Roman"/>
          <w:b/>
          <w:i w:val="false"/>
          <w:color w:val="000000"/>
          <w:sz w:val="22"/>
        </w:rPr>
        <w:t xml:space="preserve">(89) </w:t>
      </w:r>
      <w:r>
        <w:rPr>
          <w:rFonts w:ascii="Times New Roman" w:hAnsi="Times New Roman"/>
          <w:b/>
          <w:i w:val="false"/>
          <w:color w:val="000000"/>
          <w:sz w:val="22"/>
        </w:rPr>
        <w:t xml:space="preserve">Boiler feeding. </w:t>
      </w:r>
      <w:r>
        <w:rPr>
          <w:rFonts w:ascii="Times New Roman" w:hAnsi="Times New Roman"/>
          <w:b w:val="false"/>
          <w:i w:val="false"/>
          <w:color w:val="000000"/>
          <w:sz w:val="22"/>
        </w:rPr>
        <w:t>This rule applies to power boilers installed prior to July 1, 1983.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92.8(1)</w:t>
      </w:r>
      <w:r>
        <w:rPr>
          <w:rFonts w:ascii="Times New Roman" w:hAnsi="Times New Roman"/>
          <w:b w:val="false"/>
          <w:i w:val="false"/>
          <w:color w:val="000000"/>
          <w:sz w:val="22"/>
        </w:rPr>
        <w:t> </w:t>
      </w:r>
      <w:r>
        <w:rPr>
          <w:rFonts w:ascii="Times New Roman" w:hAnsi="Times New Roman"/>
          <w:b w:val="false"/>
          <w:i w:val="false"/>
          <w:color w:val="000000"/>
          <w:sz w:val="22"/>
        </w:rPr>
        <w:t>Each boiler shall have a feed supply that will permit it to be fed at any time while under pressure. A boiler having more than 500 square feet of water-heating surface shall have at least two means of feeding, one of which shall be an approved feed pump, injector, or inspirator. One source of feed is directly from the water main. Boilers fired by gaseous, liquid, or solid fuel in suspension may be equipped with a single means of feeding water provided means are furnished for the immediate shutoff of heat input prior to the water level reaching the lowest permissible level. The feedwater shall be introduced into the boiler in such a manner that it will not be discharged close to riveted joints of shell or furnace sheets, directly against surfaces exposed to products of combustion, or directed to surfaces subject to radiation from the fire. The feed piping to the boiler shall be provided with a check valve near the boiler and a stop valve between the check valve and the boiler.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92.8(2)</w:t>
      </w:r>
      <w:r>
        <w:rPr>
          <w:rFonts w:ascii="Times New Roman" w:hAnsi="Times New Roman"/>
          <w:b w:val="false"/>
          <w:i w:val="false"/>
          <w:color w:val="000000"/>
          <w:sz w:val="22"/>
        </w:rPr>
        <w:t> </w:t>
      </w:r>
      <w:r>
        <w:rPr>
          <w:rFonts w:ascii="Times New Roman" w:hAnsi="Times New Roman"/>
          <w:b w:val="false"/>
          <w:i w:val="false"/>
          <w:color w:val="000000"/>
          <w:sz w:val="22"/>
        </w:rPr>
        <w:t>When two or more boilers are fed from a common source, there shall also be a valve on the branch to each boiler between the check valve and source of supply. Whenever a globe valve is used on feed piping, the inlet shall be under the disk of the valve. In all cases where returns are fed back to the boiler by gravity, there shall be a check valve and stop valve in each return line. The stop valve shall be placed between the boiler and the check valve, and both shall be located as close to the boiler as is practicable.</w:t>
      </w:r>
    </w:p>
    <w:p>
      <w:pPr>
        <w:spacing w:before="210" w:after="0"/>
        <w:ind w:left="120"/>
        <w:jc w:val="both"/>
      </w:pPr>
      <w:r>
        <w:rPr>
          <w:rFonts w:ascii="Times New Roman" w:hAnsi="Times New Roman"/>
          <w:b/>
          <w:i w:val="false"/>
          <w:color w:val="000000"/>
          <w:sz w:val="22"/>
        </w:rPr>
        <w:t>875—92.9</w:t>
      </w:r>
      <w:r>
        <w:rPr>
          <w:rFonts w:ascii="Times New Roman" w:hAnsi="Times New Roman"/>
          <w:b/>
          <w:i w:val="false"/>
          <w:color w:val="000000"/>
          <w:sz w:val="22"/>
        </w:rPr>
        <w:t xml:space="preserve">(89) </w:t>
      </w:r>
      <w:r>
        <w:rPr>
          <w:rFonts w:ascii="Times New Roman" w:hAnsi="Times New Roman"/>
          <w:b/>
          <w:i w:val="false"/>
          <w:color w:val="000000"/>
          <w:sz w:val="22"/>
        </w:rPr>
        <w:t xml:space="preserve">Water level indicators. </w:t>
      </w:r>
      <w:r>
        <w:rPr>
          <w:rFonts w:ascii="Times New Roman" w:hAnsi="Times New Roman"/>
          <w:b w:val="false"/>
          <w:i w:val="false"/>
          <w:color w:val="000000"/>
          <w:sz w:val="22"/>
        </w:rPr>
        <w:t>This rule applies to power boilers installed prior to July 1, 1983. Outlet connections that allow the escape of an appreciable amount of steam or water shall not be placed on the piping. However, this rule does not prohibit the installation of damper regulators, feed water regulators, low-water fuel cutouts, drains, or steam gages. The water column shall be provided with a drain of at least ¾-inch piping size. The drain must have a valve and be piped to a safe location. Each boiler shall have three or more gage cocks located within the visible length of the water glass, except when the boiler has two water glasses located at the same horizontal lines. Only two gage cocks are required on boilers not over 36 inches in diameter with a heating surface not exceeding 100 square feet. Gage cocks are not required on electric boilers.</w:t>
      </w:r>
    </w:p>
    <w:p>
      <w:pPr>
        <w:spacing w:before="210" w:after="0"/>
        <w:ind w:left="120"/>
        <w:jc w:val="both"/>
      </w:pPr>
      <w:r>
        <w:rPr>
          <w:rFonts w:ascii="Times New Roman" w:hAnsi="Times New Roman"/>
          <w:b/>
          <w:i w:val="false"/>
          <w:color w:val="000000"/>
          <w:sz w:val="22"/>
        </w:rPr>
        <w:t>875—92.10</w:t>
      </w:r>
      <w:r>
        <w:rPr>
          <w:rFonts w:ascii="Times New Roman" w:hAnsi="Times New Roman"/>
          <w:b/>
          <w:i w:val="false"/>
          <w:color w:val="000000"/>
          <w:sz w:val="22"/>
        </w:rPr>
        <w:t xml:space="preserve">(89) </w:t>
      </w:r>
      <w:r>
        <w:rPr>
          <w:rFonts w:ascii="Times New Roman" w:hAnsi="Times New Roman"/>
          <w:b/>
          <w:i w:val="false"/>
          <w:color w:val="000000"/>
          <w:sz w:val="22"/>
        </w:rPr>
        <w:t xml:space="preserve">Pressure gages. </w:t>
      </w:r>
      <w:r>
        <w:rPr>
          <w:rFonts w:ascii="Times New Roman" w:hAnsi="Times New Roman"/>
          <w:b w:val="false"/>
          <w:i w:val="false"/>
          <w:color w:val="000000"/>
          <w:sz w:val="22"/>
        </w:rPr>
        <w:t>This rule applies to power boilers installed prior to July 1, 1983. Each boiler shall have a pressure gage so located that the gage is readable. The pressure gage shall be installed so that it shall at all times indicate the pressure in the boiler. Each steam boiler shall have the pressure gage connected to the steam space or to the water column or its steam connection. A valve or cock shall be placed in the gage connection adjacent to the gage. An additional valve or cock may be located near the boiler providing it is locked or sealed in the open position. No other shutoff valves shall be located between the gage and the boiler. The pipe connection shall be of ample size and arranged so that it may be cleared by blowing out. For a steam boiler the gage or connection shall contain a siphon or equivalent device that will develop and maintain a water seal that will prevent steam from entering the gage tube. Pressure gage connections shall be suitable for the maximum allowable working pressure and temperature, but if the temperature exceeds 406° F, brass or copper pipe or tubing shall not be used. The connections to the boiler, except the siphon, if used, shall not be less than ¼-inch standard pipe size, but where steel or wrought-iron pipe or tubing is used, they shall not be less than ½-inch inside diameter. The minimum size of a siphon, if used, shall be ¼-inch inside diameter. The dial of the pressure gage shall be graduated to approximately double the pressure at which the safety valve is set, but in no case to less than 1½ times this pressure.</w:t>
      </w:r>
    </w:p>
    <w:p>
      <w:pPr>
        <w:spacing w:before="210" w:after="0"/>
        <w:ind w:left="120"/>
        <w:jc w:val="both"/>
      </w:pPr>
      <w:r>
        <w:rPr>
          <w:rFonts w:ascii="Times New Roman" w:hAnsi="Times New Roman"/>
          <w:b/>
          <w:i w:val="false"/>
          <w:color w:val="000000"/>
          <w:sz w:val="22"/>
        </w:rPr>
        <w:t>875—92.11</w:t>
      </w:r>
      <w:r>
        <w:rPr>
          <w:rFonts w:ascii="Times New Roman" w:hAnsi="Times New Roman"/>
          <w:b/>
          <w:i w:val="false"/>
          <w:color w:val="000000"/>
          <w:sz w:val="22"/>
        </w:rPr>
        <w:t xml:space="preserve">(89) </w:t>
      </w:r>
      <w:r>
        <w:rPr>
          <w:rFonts w:ascii="Times New Roman" w:hAnsi="Times New Roman"/>
          <w:b/>
          <w:i w:val="false"/>
          <w:color w:val="000000"/>
          <w:sz w:val="22"/>
        </w:rPr>
        <w:t xml:space="preserve">Steam stop valves. </w:t>
      </w:r>
      <w:r>
        <w:rPr>
          <w:rFonts w:ascii="Times New Roman" w:hAnsi="Times New Roman"/>
          <w:b w:val="false"/>
          <w:i w:val="false"/>
          <w:color w:val="000000"/>
          <w:sz w:val="22"/>
        </w:rPr>
        <w:t>This rule applies to power boilers installed prior to July 1, 1983. Each steam outlet from a boiler, except safety valve and water-column connections, shall be fitted with a stop valve located as close as practicable to the boiler. When a stop valve is so located that water can accumulate, ample drains shall be provided. The drainage shall be piped to a safe location and shall not be discharged on the top of the boiler or its setting. When boilers provided with manholes are connected to a common steam main, the steam connection from each boiler shall be fitted with two stop valves having an ample free-blowing drain between them. The discharge of the drain shall be piped clear of the boiler setting. The stop valves shall consist of one automatic nonreturn valve next to the boiler and a second valve of the outside screw and yoke type.</w:t>
      </w:r>
    </w:p>
    <w:p>
      <w:pPr>
        <w:spacing w:before="0" w:after="0"/>
        <w:ind w:left="120"/>
        <w:jc w:val="both"/>
      </w:pPr>
      <w:r>
        <w:rPr>
          <w:rFonts w:ascii="Times New Roman" w:hAnsi="Times New Roman"/>
          <w:b/>
          <w:i w:val="false"/>
          <w:color w:val="000000"/>
          <w:sz w:val="22"/>
        </w:rPr>
        <w:t>875—92.12</w:t>
      </w:r>
      <w:r>
        <w:rPr>
          <w:rFonts w:ascii="Times New Roman" w:hAnsi="Times New Roman"/>
          <w:b/>
          <w:i w:val="false"/>
          <w:color w:val="000000"/>
          <w:sz w:val="22"/>
        </w:rPr>
        <w:t xml:space="preserve">(89) </w:t>
      </w:r>
      <w:r>
        <w:rPr>
          <w:rFonts w:ascii="Times New Roman" w:hAnsi="Times New Roman"/>
          <w:b/>
          <w:i w:val="false"/>
          <w:color w:val="000000"/>
          <w:sz w:val="22"/>
        </w:rPr>
        <w:t xml:space="preserve">Blowoff connection. </w:t>
      </w:r>
      <w:r>
        <w:rPr>
          <w:rFonts w:ascii="Times New Roman" w:hAnsi="Times New Roman"/>
          <w:b w:val="false"/>
          <w:i w:val="false"/>
          <w:color w:val="000000"/>
          <w:sz w:val="22"/>
        </w:rPr>
        <w:t>This rule applies to power boilers installed prior to July 1, 1983. Each boiler shall have a blowoff pipe fitted with valve or cock, in direct connection with the lowest water space practicable.</w:t>
      </w:r>
    </w:p>
    <w:p>
      <w:pPr>
        <w:spacing w:before="0" w:after="0"/>
        <w:ind w:left="120"/>
        <w:jc w:val="both"/>
      </w:pPr>
      <w:r>
        <w:rPr>
          <w:rFonts w:ascii="Times New Roman" w:hAnsi="Times New Roman"/>
          <w:b w:val="false"/>
          <w:i w:val="false"/>
          <w:color w:val="000000"/>
          <w:sz w:val="22"/>
        </w:rPr>
        <w:t>When the maximum allowable working pressure exceeds 125 psig, the blowoff pipe shall be at least schedule 80 from the boiler to the valve or valves and shall run full size without reducers or bushings. Galvanized materials shall not be used.</w:t>
      </w:r>
    </w:p>
    <w:p>
      <w:pPr>
        <w:spacing w:before="0" w:after="0"/>
        <w:ind w:left="120"/>
        <w:jc w:val="both"/>
      </w:pPr>
      <w:r>
        <w:rPr>
          <w:rFonts w:ascii="Times New Roman" w:hAnsi="Times New Roman"/>
          <w:b w:val="false"/>
          <w:i w:val="false"/>
          <w:color w:val="000000"/>
          <w:sz w:val="22"/>
        </w:rPr>
        <w:t>All fittings between the boiler and valve shall be steel or at least schedule 80 fittings of bronze, brass, malleable iron, or cast iron, all of which shall be suitable for the pressure and temperature. In case of replacement of pipe or fittings in the blowoff lines, as specified in this paragraph, they shall be installed in accordance with the rules of new installations.</w:t>
      </w:r>
    </w:p>
    <w:p>
      <w:pPr>
        <w:spacing w:before="0" w:after="0"/>
        <w:ind w:left="120"/>
        <w:jc w:val="both"/>
      </w:pPr>
      <w:r>
        <w:rPr>
          <w:rFonts w:ascii="Times New Roman" w:hAnsi="Times New Roman"/>
          <w:b w:val="false"/>
          <w:i w:val="false"/>
          <w:color w:val="000000"/>
          <w:sz w:val="22"/>
        </w:rPr>
        <w:t>When the maximum allowable working pressure exceeds 125 psig, each bottom blowoff pipe shall be fitted with at least a 250-pound standard valve or cock. Two valves, or a valve and a cock, should be used on each blowoff.</w:t>
      </w:r>
    </w:p>
    <w:p>
      <w:pPr>
        <w:spacing w:before="0" w:after="0"/>
        <w:ind w:left="120"/>
        <w:jc w:val="both"/>
      </w:pPr>
      <w:r>
        <w:rPr>
          <w:rFonts w:ascii="Times New Roman" w:hAnsi="Times New Roman"/>
          <w:b w:val="false"/>
          <w:i w:val="false"/>
          <w:color w:val="000000"/>
          <w:sz w:val="22"/>
        </w:rPr>
        <w:t>When exposed to direct furnace heat, a bottom blowoff pipe shall be protected by firebrick or other heat resisting material so arranged that the pipe may be inspected.</w:t>
      </w:r>
    </w:p>
    <w:p>
      <w:pPr>
        <w:spacing w:before="0" w:after="0"/>
        <w:ind w:left="120"/>
        <w:jc w:val="both"/>
      </w:pPr>
      <w:r>
        <w:rPr>
          <w:rFonts w:ascii="Times New Roman" w:hAnsi="Times New Roman"/>
          <w:b w:val="false"/>
          <w:i w:val="false"/>
          <w:color w:val="000000"/>
          <w:sz w:val="22"/>
        </w:rPr>
        <w:t>An opening in the boiler setting for a blowoff pipe shall be arranged to provide for free expansion and contraction.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7/15/59]</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emergency 6/13/83—published 7/6/83, effective 7/1/83]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10/25/91, Notice 7/10/91—published 11/13/91, effective 1/1/92]</w:t>
      </w:r>
    </w:p>
    <w:p>
      <w:pPr>
        <w:spacing w:before="0" w:after="0"/>
        <w:ind w:left="120"/>
        <w:jc w:val="center"/>
      </w:pPr>
      <w:r>
        <w:rPr>
          <w:rFonts w:ascii="Times New Roman" w:hAnsi="Times New Roman"/>
          <w:b w:val="false"/>
          <w:i w:val="false"/>
          <w:color w:val="000000"/>
          <w:sz w:val="21"/>
        </w:rPr>
        <w:t>[Filed 5/16/96, Notice 11/22/95—published 6/5/96, effective 8/1/96]</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0319C</w:t>
      </w:r>
      <w:r>
        <w:rPr>
          <w:rFonts w:ascii="Times New Roman" w:hAnsi="Times New Roman"/>
          <w:b w:val="false"/>
          <w:i w:val="false"/>
          <w:color w:val="000000"/>
          <w:sz w:val="21"/>
        </w:rPr>
        <w:t xml:space="preserve"> (Notice ARC 0207C, IAB 7/11/12)</w:t>
      </w:r>
      <w:r>
        <w:rPr>
          <w:rFonts w:ascii="Times New Roman" w:hAnsi="Times New Roman"/>
          <w:b w:val="false"/>
          <w:i w:val="false"/>
          <w:color w:val="000000"/>
          <w:sz w:val="21"/>
        </w:rPr>
        <w:t>, IAB 9/5/12, effective 10/10/12]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5.93.pdf" Type="http://schemas.openxmlformats.org/officeDocument/2006/relationships/hyperlink" Id="rId5"/>
    <Relationship TargetMode="External" Target="https://www.legis.iowa.gov/docs/iac/chapter/875.91.pdf" Type="http://schemas.openxmlformats.org/officeDocument/2006/relationships/hyperlink" Id="rId6"/>
    <Relationship TargetMode="External" Target="https://www.legis.iowa.gov/docs/iac/rule/875.92.4.pdf" Type="http://schemas.openxmlformats.org/officeDocument/2006/relationships/hyperlink" Id="rId7"/>
    <Relationship TargetMode="External" Target="https://www.legis.iowa.gov/docs/iac/rule/875.92.4.pdf" Type="http://schemas.openxmlformats.org/officeDocument/2006/relationships/hyperlink" Id="rId8"/>
    <Relationship TargetMode="External" Target="https://www.legis.iowa.gov/docs/iac/rule/875.92.4.pdf" Type="http://schemas.openxmlformats.org/officeDocument/2006/relationships/hyperlink" Id="rId9"/>
    <Relationship Target="media/document_image_rId10.gif" Type="http://schemas.openxmlformats.org/officeDocument/2006/relationships/image" Id="rId10"/>
    <Relationship TargetMode="External" Target="https://www.legis.iowa.gov/docs/ico/chapter/89.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