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GENERAL REQUIREMENTS FOR ALL OBJECTS</w:t>
      </w:r>
    </w:p>
    <w:p>
      <w:pPr>
        <w:spacing w:before="0" w:after="0"/>
        <w:ind w:left="120"/>
        <w:jc w:val="center"/>
      </w:pPr>
      <w:r>
        <w:rPr>
          <w:rFonts w:ascii="Times New Roman" w:hAnsi="Times New Roman"/>
          <w:b w:val="false"/>
          <w:i w:val="false"/>
          <w:color w:val="000000"/>
          <w:sz w:val="14"/>
        </w:rPr>
        <w:t>[Prior to 1/14/98, see 347—Chs 41 to 49]</w:t>
      </w:r>
    </w:p>
    <w:p>
      <w:pPr>
        <w:spacing w:before="0" w:after="0"/>
        <w:ind w:left="120"/>
        <w:jc w:val="center"/>
      </w:pPr>
      <w:r>
        <w:rPr>
          <w:rFonts w:ascii="Times New Roman" w:hAnsi="Times New Roman"/>
          <w:b w:val="false"/>
          <w:i w:val="false"/>
          <w:color w:val="000000"/>
          <w:sz w:val="14"/>
        </w:rPr>
        <w:t>[Prior to 8/16/06, see 875—Ch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875—91.1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and code cases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ASME boiler and pressure vessel codes adopted by reference. </w:t>
      </w:r>
      <w:r>
        <w:rPr>
          <w:rFonts w:ascii="Times New Roman" w:hAnsi="Times New Roman"/>
          <w:b w:val="false"/>
          <w:i w:val="false"/>
          <w:color w:val="000000"/>
          <w:sz w:val="22"/>
        </w:rPr>
        <w:t>The ASME Boiler and Pressure Vessel Code (2021) is adopted by reference. Regulated objects shall be designed and constructed in accordance with the ASME Boiler and Pressure Vessel Code (2021) except for objects that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 with an ASME stamp and National Board Registration that establish compliance with an earlier version of the ASME Boiler and Pressure Vessel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miniature boiler installed before March 31, 1967;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power boiler or unfired steam pressure vessel installed before July 4, 1951;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steam heating boiler, hot water heating boiler, or hot water supply boiler installed before July 1, 1960.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ASME code cases. </w:t>
      </w:r>
      <w:r>
        <w:rPr>
          <w:rFonts w:ascii="Times New Roman" w:hAnsi="Times New Roman"/>
          <w:b w:val="false"/>
          <w:i w:val="false"/>
          <w:color w:val="000000"/>
          <w:sz w:val="22"/>
        </w:rPr>
        <w:t>If the manufacturer of an object listed ASME Code Case 2668-1, 2760, 2764-1, or 2869 on the manufacturer’s data report for the object and the object is otherwise in compliance with all applicable provisions, the object is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Inspection code adopted by reference. </w:t>
      </w:r>
      <w:r>
        <w:rPr>
          <w:rFonts w:ascii="Times New Roman" w:hAnsi="Times New Roman"/>
          <w:b w:val="false"/>
          <w:i w:val="false"/>
          <w:color w:val="000000"/>
          <w:sz w:val="22"/>
        </w:rPr>
        <w:t>The National Board Inspection Code (2021) is adopted by reference, and installations, alterations, and repairs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color w:val="000000"/>
          <w:sz w:val="22"/>
        </w:rPr>
        <w:t xml:space="preserve">Electric code adopted by reference. </w:t>
      </w:r>
      <w:r>
        <w:rPr>
          <w:rFonts w:ascii="Times New Roman" w:hAnsi="Times New Roman"/>
          <w:b w:val="false"/>
          <w:i w:val="false"/>
          <w:color w:val="000000"/>
          <w:sz w:val="22"/>
        </w:rPr>
        <w:t>The National Electrical Code, NFPA 70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w:t>
      </w:r>
      <w:r>
        <w:rPr>
          <w:rFonts w:ascii="Times New Roman" w:hAnsi="Times New Roman"/>
          <w:b w:val="false"/>
          <w:i w:val="false"/>
          <w:color w:val="000000"/>
          <w:sz w:val="22"/>
        </w:rPr>
        <w:t> </w:t>
      </w:r>
      <w:r>
        <w:rPr>
          <w:rFonts w:ascii="Times New Roman" w:hAnsi="Times New Roman"/>
          <w:b w:val="false"/>
          <w:i/>
          <w:color w:val="000000"/>
          <w:sz w:val="22"/>
        </w:rPr>
        <w:t xml:space="preserve">Piping codes adopted by reference. </w:t>
      </w:r>
      <w:r>
        <w:rPr>
          <w:rFonts w:ascii="Times New Roman" w:hAnsi="Times New Roman"/>
          <w:b w:val="false"/>
          <w:i w:val="false"/>
          <w:color w:val="000000"/>
          <w:sz w:val="22"/>
        </w:rPr>
        <w:t>The Power Piping Code, ASME B31.1 (2020), and the Building Services Piping Code, ASME B31.9 (2020), are adopted by reference, and installations after February 16, 2022, shall comply with them up to and including the first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code adopted by reference. </w:t>
      </w:r>
      <w:r>
        <w:rPr>
          <w:rFonts w:ascii="Times New Roman" w:hAnsi="Times New Roman"/>
          <w:b w:val="false"/>
          <w:i w:val="false"/>
          <w:color w:val="000000"/>
          <w:sz w:val="22"/>
        </w:rPr>
        <w:t xml:space="preserve">Controls and Safety Devices for Automatically Fired Boilers (CSD-1) (2021) is adopted by reference, and installations after December 1, 2022, shall comply with it. Reporting requirements concerning CSD-1 are set forth at rule </w:t>
      </w:r>
      <w:hyperlink r:id="rId5">
        <w:r>
          <w:rPr>
            <w:rStyle w:val="Hyperlink"/>
            <w:rFonts w:ascii="Times New Roman" w:hAnsi="Times New Roman"/>
            <w:b w:val="false"/>
            <w:i w:val="false"/>
            <w:color w:val="000000"/>
            <w:sz w:val="22"/>
          </w:rPr>
          <w:t>875—90.11</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w:t>
      </w:r>
      <w:r>
        <w:rPr>
          <w:rFonts w:ascii="Times New Roman" w:hAnsi="Times New Roman"/>
          <w:b w:val="false"/>
          <w:i w:val="false"/>
          <w:color w:val="000000"/>
          <w:sz w:val="22"/>
        </w:rPr>
        <w:t> </w:t>
      </w:r>
      <w:r>
        <w:rPr>
          <w:rFonts w:ascii="Times New Roman" w:hAnsi="Times New Roman"/>
          <w:b w:val="false"/>
          <w:i/>
          <w:color w:val="000000"/>
          <w:sz w:val="22"/>
        </w:rPr>
        <w:t xml:space="preserve">Mechanical code adopted by reference. </w:t>
      </w:r>
      <w:r>
        <w:rPr>
          <w:rFonts w:ascii="Times New Roman" w:hAnsi="Times New Roman"/>
          <w:b w:val="false"/>
          <w:i w:val="false"/>
          <w:color w:val="000000"/>
          <w:sz w:val="22"/>
        </w:rPr>
        <w:t>Excluding Section 701.1, Chapters 2 and 7 of the International Mechanical Code (IMC) (2021) are adopted by reference, and installations after February 16, 2022, shall comply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w:t>
      </w:r>
      <w:r>
        <w:rPr>
          <w:rFonts w:ascii="Times New Roman" w:hAnsi="Times New Roman"/>
          <w:b w:val="false"/>
          <w:i w:val="false"/>
          <w:color w:val="000000"/>
          <w:sz w:val="22"/>
        </w:rPr>
        <w:t> </w:t>
      </w:r>
      <w:r>
        <w:rPr>
          <w:rFonts w:ascii="Times New Roman" w:hAnsi="Times New Roman"/>
          <w:b w:val="false"/>
          <w:i/>
          <w:color w:val="000000"/>
          <w:sz w:val="22"/>
        </w:rPr>
        <w:t xml:space="preserve">Oil burning equipment code adopted by reference. </w:t>
      </w:r>
      <w:r>
        <w:rPr>
          <w:rFonts w:ascii="Times New Roman" w:hAnsi="Times New Roman"/>
          <w:b w:val="false"/>
          <w:i w:val="false"/>
          <w:color w:val="000000"/>
          <w:sz w:val="22"/>
        </w:rPr>
        <w:t>National Fire Protection Association Standard for the Installation of Oil Burning Equipment, NFPA 31 (2020),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w:t>
      </w:r>
      <w:r>
        <w:rPr>
          <w:rFonts w:ascii="Times New Roman" w:hAnsi="Times New Roman"/>
          <w:b w:val="false"/>
          <w:i w:val="false"/>
          <w:color w:val="000000"/>
          <w:sz w:val="22"/>
        </w:rPr>
        <w:t> </w:t>
      </w:r>
      <w:r>
        <w:rPr>
          <w:rFonts w:ascii="Times New Roman" w:hAnsi="Times New Roman"/>
          <w:b w:val="false"/>
          <w:i/>
          <w:color w:val="000000"/>
          <w:sz w:val="22"/>
        </w:rPr>
        <w:t xml:space="preserve">Fuel gas code adopted by reference. </w:t>
      </w:r>
      <w:r>
        <w:rPr>
          <w:rFonts w:ascii="Times New Roman" w:hAnsi="Times New Roman"/>
          <w:b w:val="false"/>
          <w:i w:val="false"/>
          <w:color w:val="000000"/>
          <w:sz w:val="22"/>
        </w:rPr>
        <w:t>National Fire Protection Association National Fuel Gas Code, NFPA 54 (2021),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w:t>
      </w:r>
      <w:r>
        <w:rPr>
          <w:rFonts w:ascii="Times New Roman" w:hAnsi="Times New Roman"/>
          <w:b w:val="false"/>
          <w:i w:val="false"/>
          <w:color w:val="000000"/>
          <w:sz w:val="22"/>
        </w:rPr>
        <w:t> </w:t>
      </w:r>
      <w:r>
        <w:rPr>
          <w:rFonts w:ascii="Times New Roman" w:hAnsi="Times New Roman"/>
          <w:b w:val="false"/>
          <w:i/>
          <w:color w:val="000000"/>
          <w:sz w:val="22"/>
        </w:rPr>
        <w:t xml:space="preserve">Liquefied petroleum gas code adopted by reference. </w:t>
      </w:r>
      <w:r>
        <w:rPr>
          <w:rFonts w:ascii="Times New Roman" w:hAnsi="Times New Roman"/>
          <w:b w:val="false"/>
          <w:i w:val="false"/>
          <w:color w:val="000000"/>
          <w:sz w:val="22"/>
        </w:rPr>
        <w:t>National Fire Protection Association Liquefied Petroleum Gas Code, NFPA 58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color w:val="000000"/>
          <w:sz w:val="22"/>
        </w:rPr>
        <w:t xml:space="preserve">Boiler and combustion systems hazards code adopted by reference. </w:t>
      </w:r>
      <w:r>
        <w:rPr>
          <w:rFonts w:ascii="Times New Roman" w:hAnsi="Times New Roman"/>
          <w:b w:val="false"/>
          <w:i w:val="false"/>
          <w:color w:val="000000"/>
          <w:sz w:val="22"/>
        </w:rPr>
        <w:t>National Fire Protection Association Boiler and Combustion Systems Hazards Code, NFPA 85 (2019), is adopted by reference, and installations after April 15, 2020, shall comply with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8590B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9232B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9790B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0416C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1011C</w:t>
      </w:r>
      <w:r>
        <w:rPr>
          <w:rFonts w:ascii="Times New Roman" w:hAnsi="Times New Roman"/>
          <w:b w:val="false"/>
          <w:i w:val="false"/>
          <w:color w:val="000000"/>
          <w:sz w:val="16"/>
        </w:rPr>
        <w:t>, IAB 9/18/13, effective 10/31/13</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2403C</w:t>
      </w:r>
      <w:r>
        <w:rPr>
          <w:rFonts w:ascii="Times New Roman" w:hAnsi="Times New Roman"/>
          <w:b w:val="false"/>
          <w:i w:val="false"/>
          <w:color w:val="000000"/>
          <w:sz w:val="16"/>
        </w:rPr>
        <w:t>, IAB 2/17/16, effective 4/1/16</w:t>
      </w:r>
      <w:r>
        <w:rPr>
          <w:rFonts w:ascii="Times New Roman" w:hAnsi="Times New Roman"/>
          <w:b w:val="false"/>
          <w:i w:val="false"/>
          <w:color w:val="000000"/>
          <w:sz w:val="16"/>
        </w:rPr>
        <w:t xml:space="preserve">; </w:t>
      </w:r>
      <w:r>
        <w:rPr>
          <w:rFonts w:ascii="Times New Roman" w:hAnsi="Times New Roman"/>
          <w:b/>
          <w:i w:val="false"/>
          <w:color w:val="000000"/>
          <w:sz w:val="16"/>
        </w:rPr>
        <w:t>ARC 2589C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4303C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4977C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6135C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6681C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875—91.2</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appliance.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remove, disable or tamper with a required safety appliance except for the purpose of repair or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An object shall not be operated unless all required and installed safety appliances are properly functional and operational.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875—91.3</w:t>
      </w:r>
      <w:r>
        <w:rPr>
          <w:rFonts w:ascii="Times New Roman" w:hAnsi="Times New Roman"/>
          <w:b/>
          <w:i w:val="false"/>
          <w:color w:val="000000"/>
          <w:sz w:val="22"/>
        </w:rPr>
        <w:t xml:space="preserve">(89) </w:t>
      </w:r>
      <w:r>
        <w:rPr>
          <w:rFonts w:ascii="Times New Roman" w:hAnsi="Times New Roman"/>
          <w:b/>
          <w:i w:val="false"/>
          <w:color w:val="000000"/>
          <w:sz w:val="22"/>
        </w:rPr>
        <w:t xml:space="preserve">Pressure-reducing valves.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3903C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7/18/18</w:t>
      </w:r>
      <w:r>
        <w:rPr>
          <w:rFonts w:ascii="Times New Roman" w:hAnsi="Times New Roman"/>
          <w:b w:val="false"/>
          <w:i w:val="false"/>
          <w:color w:val="000000"/>
          <w:sz w:val="22"/>
        </w:rPr>
        <w:t xml:space="preserve">, effective 9/1/18. </w:t>
      </w:r>
    </w:p>
    <w:p>
      <w:pPr>
        <w:spacing w:before="0" w:after="0"/>
        <w:ind w:left="120"/>
        <w:jc w:val="both"/>
      </w:pPr>
      <w:r>
        <w:rPr>
          <w:rFonts w:ascii="Times New Roman" w:hAnsi="Times New Roman"/>
          <w:b/>
          <w:i w:val="false"/>
          <w:color w:val="000000"/>
          <w:sz w:val="22"/>
        </w:rPr>
        <w:t>875—91.4</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equipment. </w:t>
      </w:r>
      <w:r>
        <w:rPr>
          <w:rFonts w:ascii="Times New Roman" w:hAnsi="Times New Roman"/>
          <w:b w:val="false"/>
          <w:i w:val="false"/>
          <w:color w:val="000000"/>
          <w:sz w:val="22"/>
        </w:rPr>
        <w:t>The blowdown from an object that enters a sanitary sewer system or blowdown that is considered a hazard to life or property shall pass through blowoff equipment that will reduce pressure and temperature. The temperature of the water leaving the blowoff equipment shall not exceed 150 degrees Fahrenheit. If the local jurisdiction has a temperature limit of less than 150 degrees Fahrenheit, the temperature of the water leaving the blowoff equipment shall comply with the limit set by the local jurisdiction. The pressure of the water leaving the blowoff equipment shall not exceed 5 psig. The blowoff piping and fittings between the object and the blowoff tank shall comply with the construction or installation code. All materials used in the fabrication of object blowoff equipment shall comply with the construction or installation code. All blowoff equipment shall be equipped with openings to facilitate cleaning and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875—91.5</w:t>
      </w:r>
      <w:r>
        <w:rPr>
          <w:rFonts w:ascii="Times New Roman" w:hAnsi="Times New Roman"/>
          <w:b/>
          <w:i w:val="false"/>
          <w:color w:val="000000"/>
          <w:sz w:val="22"/>
        </w:rPr>
        <w:t xml:space="preserve">(89) </w:t>
      </w:r>
      <w:r>
        <w:rPr>
          <w:rFonts w:ascii="Times New Roman" w:hAnsi="Times New Roman"/>
          <w:b/>
          <w:i w:val="false"/>
          <w:color w:val="000000"/>
          <w:sz w:val="22"/>
        </w:rPr>
        <w:t xml:space="preserve">Location of discharge piping outlets. </w:t>
      </w:r>
      <w:r>
        <w:rPr>
          <w:rFonts w:ascii="Times New Roman" w:hAnsi="Times New Roman"/>
          <w:b w:val="false"/>
          <w:i w:val="false"/>
          <w:color w:val="000000"/>
          <w:sz w:val="22"/>
        </w:rPr>
        <w:t>The discharge from safety valves, safety relief valves, blowoff pipes and other outlets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val="false"/>
          <w:color w:val="000000"/>
          <w:sz w:val="22"/>
        </w:rPr>
        <w:t>The discharge piping shall terminate at a safe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safety valve or temperature and pressure relief valve discharge is piped away from the object to a safe point of discharge, provision shall be made for properly draining the piping.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91.5(3)</w:t>
      </w:r>
      <w:r>
        <w:rPr>
          <w:rFonts w:ascii="Times New Roman" w:hAnsi="Times New Roman"/>
          <w:b w:val="false"/>
          <w:i w:val="false"/>
          <w:color w:val="000000"/>
          <w:sz w:val="22"/>
        </w:rPr>
        <w:t> </w:t>
      </w:r>
      <w:r>
        <w:rPr>
          <w:rFonts w:ascii="Times New Roman" w:hAnsi="Times New Roman"/>
          <w:b w:val="false"/>
          <w:i w:val="false"/>
          <w:color w:val="000000"/>
          <w:sz w:val="22"/>
        </w:rPr>
        <w:t>The size of the discharge piping shall not be reduced from the size of the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91.5(4)</w:t>
      </w:r>
      <w:r>
        <w:rPr>
          <w:rFonts w:ascii="Times New Roman" w:hAnsi="Times New Roman"/>
          <w:b w:val="false"/>
          <w:i w:val="false"/>
          <w:color w:val="000000"/>
          <w:sz w:val="22"/>
        </w:rPr>
        <w:t> </w:t>
      </w:r>
      <w:r>
        <w:rPr>
          <w:rFonts w:ascii="Times New Roman" w:hAnsi="Times New Roman"/>
          <w:b w:val="false"/>
          <w:i w:val="false"/>
          <w:color w:val="000000"/>
          <w:sz w:val="22"/>
        </w:rPr>
        <w:t>All discharge piping shall be comprised of appropriate metallic material identified in ASME Section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875—91.6</w:t>
      </w:r>
      <w:r>
        <w:rPr>
          <w:rFonts w:ascii="Times New Roman" w:hAnsi="Times New Roman"/>
          <w:b/>
          <w:i w:val="false"/>
          <w:color w:val="000000"/>
          <w:sz w:val="22"/>
        </w:rPr>
        <w:t xml:space="preserve">(89) </w:t>
      </w:r>
      <w:r>
        <w:rPr>
          <w:rFonts w:ascii="Times New Roman" w:hAnsi="Times New Roman"/>
          <w:b/>
          <w:i w:val="false"/>
          <w:color w:val="000000"/>
          <w:sz w:val="22"/>
        </w:rPr>
        <w:t xml:space="preserve">Pipe, valve, and fitting requirements. </w:t>
      </w:r>
      <w:r>
        <w:rPr>
          <w:rFonts w:ascii="Times New Roman" w:hAnsi="Times New Roman"/>
          <w:b w:val="false"/>
          <w:i w:val="false"/>
          <w:color w:val="000000"/>
          <w:sz w:val="22"/>
        </w:rPr>
        <w:t>Pipes, valves, and fittings subject to the effects of galvanic action shall not be used on objects covered by these rules. Dielectric fittings shall be used where dissimilar metals are joined.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875—91.7</w:t>
      </w:r>
      <w:r>
        <w:rPr>
          <w:rFonts w:ascii="Times New Roman" w:hAnsi="Times New Roman"/>
          <w:b/>
          <w:i w:val="false"/>
          <w:color w:val="000000"/>
          <w:sz w:val="22"/>
        </w:rPr>
        <w:t xml:space="preserve">(89) </w:t>
      </w:r>
      <w:r>
        <w:rPr>
          <w:rFonts w:ascii="Times New Roman" w:hAnsi="Times New Roman"/>
          <w:b/>
          <w:i w:val="false"/>
          <w:color w:val="000000"/>
          <w:sz w:val="22"/>
        </w:rPr>
        <w:t xml:space="preserve">Repairs and alterations to unfired steam pressure vessels. </w:t>
      </w:r>
      <w:r>
        <w:rPr>
          <w:rFonts w:ascii="Times New Roman" w:hAnsi="Times New Roman"/>
          <w:b w:val="false"/>
          <w:i w:val="false"/>
          <w:color w:val="000000"/>
          <w:sz w:val="22"/>
        </w:rPr>
        <w:t>No single repair of an unfired steam pressure vessel shall involve replacement of more than 50 percent of the OEM’s pressure-retaining boundary.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875—91.8</w:t>
      </w:r>
      <w:r>
        <w:rPr>
          <w:rFonts w:ascii="Times New Roman" w:hAnsi="Times New Roman"/>
          <w:b/>
          <w:i w:val="false"/>
          <w:color w:val="000000"/>
          <w:sz w:val="22"/>
        </w:rPr>
        <w:t xml:space="preserve">(89) </w:t>
      </w:r>
      <w:r>
        <w:rPr>
          <w:rFonts w:ascii="Times New Roman" w:hAnsi="Times New Roman"/>
          <w:b/>
          <w:i w:val="false"/>
          <w:color w:val="000000"/>
          <w:sz w:val="22"/>
        </w:rPr>
        <w:t xml:space="preserve">Plugging boiler tubes. </w:t>
      </w:r>
      <w:r>
        <w:rPr>
          <w:rFonts w:ascii="Times New Roman" w:hAnsi="Times New Roman"/>
          <w:b w:val="false"/>
          <w:i w:val="false"/>
          <w:color w:val="000000"/>
          <w:sz w:val="22"/>
        </w:rPr>
        <w:t xml:space="preserve">This rule does not apply to tubes in headers of economizers, evaporators, superheaters, or reheaters.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Leaky tubes shall be replaced or plugged.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Tube plugs shall be made of a material which is compatible with the material of the boiler tube being plugged and shall be welded into place or manufactured to be expanded into the tube sheet or drum.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number of tubes that may be plugged shall be the lesser number specified by the OEM or an engineer experienced in boiler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the maximum number of tubes that may be plugged shall be kept on site, and a copy shall be supplied to the division of labor services by either mail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color w:val="000000"/>
          <w:sz w:val="22"/>
        </w:rPr>
        <w:t xml:space="preserve">Fire tube boilers.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tube that is adjacent to a plugged tube shall not be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plugged boiler tubes shall be replaced prior to the next required certificate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color w:val="000000"/>
          <w:sz w:val="22"/>
        </w:rPr>
        <w:t xml:space="preserve">Water tube boilers, unfired boilers, or process steam generators. </w:t>
      </w:r>
      <w:r>
        <w:rPr>
          <w:rFonts w:ascii="Times New Roman" w:hAnsi="Times New Roman"/>
          <w:b w:val="false"/>
          <w:i w:val="false"/>
          <w:color w:val="000000"/>
          <w:sz w:val="22"/>
        </w:rPr>
        <w:t>Water wall tubes that form a separation wall between products of combustion and the outside atmosphere or a separation of the gas passes in a multiple gas pass boiler shall not be plugged.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6681C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875—91.9</w:t>
      </w:r>
      <w:r>
        <w:rPr>
          <w:rFonts w:ascii="Times New Roman" w:hAnsi="Times New Roman"/>
          <w:b/>
          <w:i w:val="false"/>
          <w:color w:val="000000"/>
          <w:sz w:val="22"/>
        </w:rPr>
        <w:t xml:space="preserve">(89) </w:t>
      </w:r>
      <w:r>
        <w:rPr>
          <w:rFonts w:ascii="Times New Roman" w:hAnsi="Times New Roman"/>
          <w:b/>
          <w:i w:val="false"/>
          <w:color w:val="000000"/>
          <w:sz w:val="22"/>
        </w:rPr>
        <w:t xml:space="preserve">Boiler door latches.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0319C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9/5/12</w:t>
      </w:r>
      <w:r>
        <w:rPr>
          <w:rFonts w:ascii="Times New Roman" w:hAnsi="Times New Roman"/>
          <w:b w:val="false"/>
          <w:i w:val="false"/>
          <w:color w:val="000000"/>
          <w:sz w:val="22"/>
        </w:rPr>
        <w:t>, effective 10/10/12.</w:t>
      </w:r>
    </w:p>
    <w:p>
      <w:pPr>
        <w:spacing w:before="0" w:after="0"/>
        <w:ind w:left="120"/>
        <w:jc w:val="both"/>
      </w:pPr>
      <w:r>
        <w:rPr>
          <w:rFonts w:ascii="Times New Roman" w:hAnsi="Times New Roman"/>
          <w:b/>
          <w:i w:val="false"/>
          <w:color w:val="000000"/>
          <w:sz w:val="22"/>
        </w:rPr>
        <w:t>875—91.10</w:t>
      </w:r>
      <w:r>
        <w:rPr>
          <w:rFonts w:ascii="Times New Roman" w:hAnsi="Times New Roman"/>
          <w:b/>
          <w:i w:val="false"/>
          <w:color w:val="000000"/>
          <w:sz w:val="22"/>
        </w:rPr>
        <w:t xml:space="preserve">(89) </w:t>
      </w:r>
      <w:r>
        <w:rPr>
          <w:rFonts w:ascii="Times New Roman" w:hAnsi="Times New Roman"/>
          <w:b/>
          <w:i w:val="false"/>
          <w:color w:val="000000"/>
          <w:sz w:val="22"/>
        </w:rPr>
        <w:t xml:space="preserve">Equipment room. </w:t>
      </w:r>
      <w:r>
        <w:rPr>
          <w:rFonts w:ascii="Times New Roman" w:hAnsi="Times New Roman"/>
          <w:b w:val="false"/>
          <w:i w:val="false"/>
          <w:color w:val="000000"/>
          <w:sz w:val="22"/>
        </w:rPr>
        <w:t xml:space="preserve">This rule applies to existing and new installations except as noted in </w:t>
      </w:r>
      <w:hyperlink r:id="rId6">
        <w:r>
          <w:rPr>
            <w:rStyle w:val="Hyperlink"/>
            <w:rFonts w:ascii="Times New Roman" w:hAnsi="Times New Roman"/>
            <w:b w:val="false"/>
            <w:i w:val="false"/>
            <w:color w:val="000000"/>
            <w:sz w:val="22"/>
          </w:rPr>
          <w:t>subrule 91.10(1)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color w:val="000000"/>
          <w:sz w:val="22"/>
        </w:rPr>
        <w:t xml:space="preserve">Clearances.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December 1, 2022. Minimum clearance on all sides of objects shall be 36 inches, or the manufacturer’s recommended service clearances if they allow sufficient room for inspection. Where a manufacturer identifies in the installation manual or other document that the unit requires more than 36 inches of service clearance, those dimensions shall be followed. Manholes shall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all objects installed after December 1, 2021, and before December 1, 2022. All objects shall be installed with the clearances identified in NBIC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September 20, 2006, and before December 1, 2021. Minimum clearance on all sides of objects shall be 24 inches, or the manufacturer’s recommended service clearances if they allow sufficient room for inspection. Where a manufacturer identifies in the installation manual or other document that the unit requires more than 24 inches of service clearance, those dimensions shall be followed. Manholes shall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objects installed prior to September 20, 2006, shall be so located that adequate space is provided for the proper operation, inspection, and necessary maintenance and repair of the object and its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color w:val="000000"/>
          <w:sz w:val="22"/>
        </w:rPr>
        <w:t xml:space="preserve">Condition of the equipment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roof, walls and floor of the equipment room shall be free from leaks and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room shall have drainage adequate to remove standing water from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equipment room shall be free from materials that obstruct access to the objects, their setting, 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of flammable material or gasoline-powered equipment in the equipment room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color w:val="000000"/>
          <w:sz w:val="22"/>
        </w:rPr>
        <w:t xml:space="preserve">Exit from equipment room. </w:t>
      </w:r>
      <w:r>
        <w:rPr>
          <w:rFonts w:ascii="Times New Roman" w:hAnsi="Times New Roman"/>
          <w:b w:val="false"/>
          <w:i w:val="false"/>
          <w:color w:val="000000"/>
          <w:sz w:val="22"/>
        </w:rPr>
        <w:t>This subrule shall apply to an equipment room exceeding 500 square feet of floor area, containing at least one object, and containing fuel-burning equipment with at least a combined capacity of 1,000,000 Btu per hour or the equivalent electrical heat input. Two means of exit located remotely from one another shall be provided on each elevation for covered equipment rooms. A platform at the top of a single object or other equipment is not considered an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detector or alarm. </w:t>
      </w:r>
      <w:r>
        <w:rPr>
          <w:rFonts w:ascii="Times New Roman" w:hAnsi="Times New Roman"/>
          <w:b w:val="false"/>
          <w:i w:val="false"/>
          <w:color w:val="000000"/>
          <w:sz w:val="22"/>
        </w:rPr>
        <w:t>The owner or user shall install and maintain a carbon monoxide detector or alarm in an equipment room where one or more fuel-fired objects are located in accordance with the detector or alarm manufacturer’s recommendations.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6681C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875—91.11</w:t>
      </w:r>
      <w:r>
        <w:rPr>
          <w:rFonts w:ascii="Times New Roman" w:hAnsi="Times New Roman"/>
          <w:b/>
          <w:i w:val="false"/>
          <w:color w:val="000000"/>
          <w:sz w:val="22"/>
        </w:rPr>
        <w:t xml:space="preserve">(89) </w:t>
      </w:r>
      <w:r>
        <w:rPr>
          <w:rFonts w:ascii="Times New Roman" w:hAnsi="Times New Roman"/>
          <w:b/>
          <w:i w:val="false"/>
          <w:color w:val="000000"/>
          <w:sz w:val="22"/>
        </w:rPr>
        <w:t xml:space="preserve">Fall protection. </w:t>
      </w:r>
      <w:r>
        <w:rPr>
          <w:rFonts w:ascii="Times New Roman" w:hAnsi="Times New Roman"/>
          <w:b w:val="false"/>
          <w:i w:val="false"/>
          <w:color w:val="000000"/>
          <w:sz w:val="22"/>
        </w:rPr>
        <w:t>The owner or user shall provide safe access to object parts over four feet high consistent with 29 CFR Subpart D, Walking-Working Surfaces, and 29 CFR 1910.140, Personal Fall Protection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875—91.12</w:t>
      </w:r>
      <w:r>
        <w:rPr>
          <w:rFonts w:ascii="Times New Roman" w:hAnsi="Times New Roman"/>
          <w:b/>
          <w:i w:val="false"/>
          <w:color w:val="000000"/>
          <w:sz w:val="22"/>
        </w:rPr>
        <w:t xml:space="preserve">(89) </w:t>
      </w:r>
      <w:r>
        <w:rPr>
          <w:rFonts w:ascii="Times New Roman" w:hAnsi="Times New Roman"/>
          <w:b/>
          <w:i w:val="false"/>
          <w:color w:val="000000"/>
          <w:sz w:val="22"/>
        </w:rPr>
        <w:t xml:space="preserve">Exit from rooms containing objects.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5977C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10/20/21</w:t>
      </w:r>
      <w:r>
        <w:rPr>
          <w:rFonts w:ascii="Times New Roman" w:hAnsi="Times New Roman"/>
          <w:b w:val="false"/>
          <w:i w:val="false"/>
          <w:color w:val="000000"/>
          <w:sz w:val="22"/>
        </w:rPr>
        <w:t xml:space="preserve">, effective 11/24/21. </w:t>
      </w:r>
    </w:p>
    <w:p>
      <w:pPr>
        <w:spacing w:before="0" w:after="0"/>
        <w:ind w:left="120"/>
        <w:jc w:val="both"/>
      </w:pPr>
      <w:r>
        <w:rPr>
          <w:rFonts w:ascii="Times New Roman" w:hAnsi="Times New Roman"/>
          <w:b/>
          <w:i w:val="false"/>
          <w:color w:val="000000"/>
          <w:sz w:val="22"/>
        </w:rPr>
        <w:t>875—91.13</w:t>
      </w:r>
      <w:r>
        <w:rPr>
          <w:rFonts w:ascii="Times New Roman" w:hAnsi="Times New Roman"/>
          <w:b/>
          <w:i w:val="false"/>
          <w:color w:val="000000"/>
          <w:sz w:val="22"/>
        </w:rPr>
        <w:t xml:space="preserve">(89) </w:t>
      </w:r>
      <w:r>
        <w:rPr>
          <w:rFonts w:ascii="Times New Roman" w:hAnsi="Times New Roman"/>
          <w:b/>
          <w:i w:val="false"/>
          <w:color w:val="000000"/>
          <w:sz w:val="22"/>
        </w:rPr>
        <w:t xml:space="preserve">Air and ventilation.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91.13(1)</w:t>
      </w:r>
      <w:r>
        <w:rPr>
          <w:rFonts w:ascii="Times New Roman" w:hAnsi="Times New Roman"/>
          <w:b w:val="false"/>
          <w:i w:val="false"/>
          <w:color w:val="000000"/>
          <w:sz w:val="22"/>
        </w:rPr>
        <w:t> </w:t>
      </w:r>
      <w:r>
        <w:rPr>
          <w:rFonts w:ascii="Times New Roman" w:hAnsi="Times New Roman"/>
          <w:b w:val="false"/>
          <w:i/>
          <w:color w:val="000000"/>
          <w:sz w:val="22"/>
        </w:rPr>
        <w:t xml:space="preserve">Notice concerning other rules. </w:t>
      </w:r>
      <w:r>
        <w:rPr>
          <w:rFonts w:ascii="Times New Roman" w:hAnsi="Times New Roman"/>
          <w:b w:val="false"/>
          <w:i w:val="false"/>
          <w:color w:val="000000"/>
          <w:sz w:val="22"/>
        </w:rPr>
        <w:t>The division and the Iowa department of public safety both enforce requirements concerning air and ventilation. Objects that are covered by both sets of rules must comply with both sets of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Documentation of compliance with any requirement of this rule shall be maintained in the boiler room. However, it is not necessary to maintain documentation of the louvered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91.13(3)</w:t>
      </w:r>
      <w:r>
        <w:rPr>
          <w:rFonts w:ascii="Times New Roman" w:hAnsi="Times New Roman"/>
          <w:b w:val="false"/>
          <w:i w:val="false"/>
          <w:color w:val="000000"/>
          <w:sz w:val="22"/>
        </w:rPr>
        <w:t> </w:t>
      </w:r>
      <w:r>
        <w:rPr>
          <w:rFonts w:ascii="Times New Roman" w:hAnsi="Times New Roman"/>
          <w:b w:val="false"/>
          <w:i/>
          <w:color w:val="000000"/>
          <w:sz w:val="22"/>
        </w:rPr>
        <w:t xml:space="preserve">National combustion air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Installations. </w:t>
      </w:r>
      <w:r>
        <w:rPr>
          <w:rFonts w:ascii="Times New Roman" w:hAnsi="Times New Roman"/>
          <w:b w:val="false"/>
          <w:i w:val="false"/>
          <w:color w:val="000000"/>
          <w:sz w:val="22"/>
        </w:rPr>
        <w:t xml:space="preserve">Installations shall comply with the edition of NFPA 31, NFPA 54, NFPA 58, NFPA 85, or IMC currently adopted at rule </w:t>
      </w:r>
      <w:hyperlink r:id="rId7">
        <w:r>
          <w:rPr>
            <w:rStyle w:val="Hyperlink"/>
            <w:rFonts w:ascii="Times New Roman" w:hAnsi="Times New Roman"/>
            <w:b w:val="false"/>
            <w:i w:val="false"/>
            <w:color w:val="000000"/>
            <w:sz w:val="22"/>
          </w:rPr>
          <w:t>875—91.1</w:t>
        </w:r>
      </w:hyperlink>
      <w:r>
        <w:rPr>
          <w:rFonts w:ascii="Times New Roman" w:hAnsi="Times New Roman"/>
          <w:b w:val="false"/>
          <w:i w:val="false"/>
          <w:color w:val="000000"/>
          <w:sz w:val="22"/>
        </w:rPr>
        <w:t xml:space="preserve">(89) or with the Iowa combustion air standard in subrule </w:t>
      </w:r>
      <w:hyperlink r:id="rId8">
        <w:r>
          <w:rPr>
            <w:rStyle w:val="Hyperlink"/>
            <w:rFonts w:ascii="Times New Roman" w:hAnsi="Times New Roman"/>
            <w:b w:val="false"/>
            <w:i w:val="false"/>
            <w:color w:val="000000"/>
            <w:sz w:val="22"/>
          </w:rPr>
          <w:t>91.13(4)</w:t>
        </w:r>
      </w:hyperlink>
      <w:r>
        <w:rPr>
          <w:rFonts w:ascii="Times New Roman" w:hAnsi="Times New Roman"/>
          <w:b w:val="false"/>
          <w:i w:val="false"/>
          <w:color w:val="000000"/>
          <w:sz w:val="22"/>
        </w:rPr>
        <w:t>. However, compliance with one of the listed NFPA codes constitutes compliance with this rule only if the object burns the fuel covered by the NFPA.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objects. </w:t>
      </w:r>
      <w:r>
        <w:rPr>
          <w:rFonts w:ascii="Times New Roman" w:hAnsi="Times New Roman"/>
          <w:b w:val="false"/>
          <w:i w:val="false"/>
          <w:color w:val="000000"/>
          <w:sz w:val="22"/>
        </w:rPr>
        <w:t xml:space="preserve">An adequate supply of combustion air shall be maintained for all objects while in operation. Compliance with the current edition of NFPA 31, NFPA 54, NFPA 58, NFPA 85, or IMC as adopted at rule </w:t>
      </w:r>
      <w:hyperlink r:id="rId9">
        <w:r>
          <w:rPr>
            <w:rStyle w:val="Hyperlink"/>
            <w:rFonts w:ascii="Times New Roman" w:hAnsi="Times New Roman"/>
            <w:b w:val="false"/>
            <w:i w:val="false"/>
            <w:color w:val="000000"/>
            <w:sz w:val="22"/>
          </w:rPr>
          <w:t>875—91.1</w:t>
        </w:r>
      </w:hyperlink>
      <w:r>
        <w:rPr>
          <w:rFonts w:ascii="Times New Roman" w:hAnsi="Times New Roman"/>
          <w:b w:val="false"/>
          <w:i w:val="false"/>
          <w:color w:val="000000"/>
          <w:sz w:val="22"/>
        </w:rPr>
        <w:t xml:space="preserve">(89) or with subrule </w:t>
      </w:r>
      <w:hyperlink r:id="rId10">
        <w:r>
          <w:rPr>
            <w:rStyle w:val="Hyperlink"/>
            <w:rFonts w:ascii="Times New Roman" w:hAnsi="Times New Roman"/>
            <w:b w:val="false"/>
            <w:i w:val="false"/>
            <w:color w:val="000000"/>
            <w:sz w:val="22"/>
          </w:rPr>
          <w:t>91.13(4)</w:t>
        </w:r>
      </w:hyperlink>
      <w:r>
        <w:rPr>
          <w:rFonts w:ascii="Times New Roman" w:hAnsi="Times New Roman"/>
          <w:b w:val="false"/>
          <w:i w:val="false"/>
          <w:color w:val="000000"/>
          <w:sz w:val="22"/>
        </w:rPr>
        <w:t xml:space="preserve"> constitutes compliance with this rule. Compliance with an earlier edition of NFPA 31, NFPA 54, NFPA 58, NFPA 85, or IMC constitutes compliance with this rule. However, compliance with one of the listed NFPA codes constitutes compliance with this rule only if the object burns the fuel covered by the NFPA. Compliance with an earlier version of Iowa’s combustion air rule constitutes compliance with this rule. Earlier versions of Iowa’s combustion air rule are available from the board’s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91.13(4)</w:t>
      </w:r>
      <w:r>
        <w:rPr>
          <w:rFonts w:ascii="Times New Roman" w:hAnsi="Times New Roman"/>
          <w:b w:val="false"/>
          <w:i w:val="false"/>
          <w:color w:val="000000"/>
          <w:sz w:val="22"/>
        </w:rPr>
        <w:t> </w:t>
      </w:r>
      <w:r>
        <w:rPr>
          <w:rFonts w:ascii="Times New Roman" w:hAnsi="Times New Roman"/>
          <w:b w:val="false"/>
          <w:i/>
          <w:color w:val="000000"/>
          <w:sz w:val="22"/>
        </w:rPr>
        <w:t xml:space="preserve">Iowa combustion air standard. </w:t>
      </w:r>
      <w:r>
        <w:rPr>
          <w:rFonts w:ascii="Times New Roman" w:hAnsi="Times New Roman"/>
          <w:b w:val="false"/>
          <w:i w:val="false"/>
          <w:color w:val="000000"/>
          <w:sz w:val="22"/>
        </w:rPr>
        <w:t>A permanent source of outside air shall be provided for each room to permit satisfactory combustion of fuel and ventilation if necessary under normal operations. The minimum ventilation for coal, gas, or oil burners in rooms containing objects is based on the Btu’s per hour, required air, and louvered area. The minimum net louvered area shall not be less than 1 square foot. The following table shall be used to determine the net louvered area in square feet:</w:t>
      </w:r>
    </w:p>
    <w:tbl>
      <w:tblPr>
        <w:tblW w:w="5000" w:type="pct"/>
        <w:tblCellSpacing w:w="0" w:type="auto"/>
        <w:tblBorders>
          <w:top w:val="none"/>
          <w:left w:val="none"/>
          <w:bottom w:val="none"/>
          <w:right w:val="none"/>
          <w:insideH w:val="none"/>
          <w:insideV w:val="none"/>
        </w:tblBorders>
        <w:tblLayout w:type="fixed"/>
      </w:tblPr>
      <w:tblGrid>
        <w:gridCol w:w="2930"/>
        <w:gridCol w:w="3890"/>
        <w:gridCol w:w="4370"/>
      </w:tblGrid>
      <w:tr>
        <w:trPr>
          <w:trHeight w:val="390" w:hRule="atLeast"/>
        </w:trPr>
        <w:tc>
          <w:tcPr>
            <w:tcW w:w="293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INPUT</w:t>
            </w:r>
          </w:p>
          <w:p>
            <w:pPr>
              <w:spacing w:before="0" w:after="0"/>
              <w:ind w:left="160"/>
              <w:jc w:val="center"/>
            </w:pPr>
            <w:r>
              <w:rPr>
                <w:rFonts w:ascii="Times New Roman" w:hAnsi="Times New Roman"/>
                <w:b w:val="false"/>
                <w:i w:val="false"/>
                <w:color w:val="000000"/>
                <w:sz w:val="16"/>
              </w:rPr>
              <w:t>(Btu’s per hour)</w:t>
            </w:r>
          </w:p>
        </w:tc>
        <w:tc>
          <w:tcPr>
            <w:tcW w:w="389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MINIMUM AIR REQUIRED</w:t>
            </w:r>
          </w:p>
          <w:p>
            <w:pPr>
              <w:spacing w:before="0" w:after="0"/>
              <w:ind w:left="160"/>
              <w:jc w:val="center"/>
            </w:pPr>
            <w:r>
              <w:rPr>
                <w:rFonts w:ascii="Times New Roman" w:hAnsi="Times New Roman"/>
                <w:b w:val="false"/>
                <w:i w:val="false"/>
                <w:color w:val="000000"/>
                <w:sz w:val="16"/>
              </w:rPr>
              <w:t>(cubic feet per minute)</w:t>
            </w:r>
          </w:p>
        </w:tc>
        <w:tc>
          <w:tcPr>
            <w:tcW w:w="437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MINIMUM LOUVERED AREA</w:t>
            </w:r>
          </w:p>
          <w:p>
            <w:pPr>
              <w:spacing w:before="0" w:after="0"/>
              <w:ind w:left="160"/>
              <w:jc w:val="center"/>
            </w:pPr>
            <w:r>
              <w:rPr>
                <w:rFonts w:ascii="Times New Roman" w:hAnsi="Times New Roman"/>
                <w:b w:val="false"/>
                <w:i w:val="false"/>
                <w:color w:val="000000"/>
                <w:sz w:val="16"/>
              </w:rPr>
              <w:t>(net square feet)</w:t>
            </w:r>
          </w:p>
        </w:tc>
      </w:tr>
      <w:tr>
        <w:trPr>
          <w:trHeight w:val="225"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125</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1.6</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3,000,000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4,000,000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3.3</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5,000,000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1,200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4.1</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6,000,000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7,000,000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1,750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5.8</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8,000,000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2,000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6.6</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9,000,000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2,250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7.5</w:t>
            </w:r>
          </w:p>
        </w:tc>
      </w:tr>
      <w:tr>
        <w:trPr>
          <w:trHeight w:val="210" w:hRule="atLeast"/>
        </w:trPr>
        <w:tc>
          <w:tcPr>
            <w:tcW w:w="293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10,000,000</w:t>
            </w:r>
          </w:p>
        </w:tc>
        <w:tc>
          <w:tcPr>
            <w:tcW w:w="3890" w:type="dxa"/>
            <w:tcBorders/>
            <w:tcMar>
              <w:top w:w="30" w:type="dxa"/>
              <w:left w:w="30" w:type="dxa"/>
              <w:bottom w:w="15" w:type="dxa"/>
              <w:right w:w="30" w:type="dxa"/>
            </w:tcMar>
            <w:vAlign w:val="bottom"/>
          </w:tcPr>
          <w:p>
            <w:pPr>
              <w:spacing w:before="0" w:after="0"/>
              <w:ind w:left="160"/>
              <w:jc w:val="right"/>
            </w:pPr>
            <w:r>
              <w:rPr>
                <w:rFonts w:ascii="Times New Roman" w:hAnsi="Times New Roman"/>
                <w:b w:val="false"/>
                <w:i w:val="false"/>
                <w:color w:val="000000"/>
                <w:sz w:val="16"/>
              </w:rPr>
              <w:t>2,500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8.3</w:t>
            </w:r>
          </w:p>
        </w:tc>
      </w:tr>
    </w:tbl>
    <w:p>
      <w:pPr>
        <w:spacing w:before="0" w:after="0"/>
        <w:ind w:left="120"/>
        <w:jc w:val="both"/>
      </w:pPr>
      <w:r>
        <w:rPr>
          <w:rFonts w:ascii="Times New Roman" w:hAnsi="Times New Roman"/>
          <w:b w:val="false"/>
          <w:i w:val="false"/>
          <w:color w:val="000000"/>
          <w:sz w:val="22"/>
        </w:rPr>
        <w:t>When mechanical ventilation is used, the supply of combustion and ventilation air to the objects and the firing device shall be interlocked with the fan so the firing device will not operate with the fan off. The velocity of the air through the ventilating fan shall not exceed 500 feet per minute, and the total air delivered shall be equal to or greater than shown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875—91.14</w:t>
      </w:r>
      <w:r>
        <w:rPr>
          <w:rFonts w:ascii="Times New Roman" w:hAnsi="Times New Roman"/>
          <w:b/>
          <w:i w:val="false"/>
          <w:color w:val="000000"/>
          <w:sz w:val="22"/>
        </w:rPr>
        <w:t xml:space="preserve">(89) </w:t>
      </w:r>
      <w:r>
        <w:rPr>
          <w:rFonts w:ascii="Times New Roman" w:hAnsi="Times New Roman"/>
          <w:b/>
          <w:i w:val="false"/>
          <w:color w:val="000000"/>
          <w:sz w:val="22"/>
        </w:rPr>
        <w:t xml:space="preserve">Condensate return tank. </w:t>
      </w:r>
      <w:r>
        <w:rPr>
          <w:rFonts w:ascii="Times New Roman" w:hAnsi="Times New Roman"/>
          <w:b w:val="false"/>
          <w:i w:val="false"/>
          <w:color w:val="000000"/>
          <w:sz w:val="22"/>
        </w:rPr>
        <w:t>Condensate return tanks shall be equipped with at least two vents or a vent and overflow pipe to protect against a loose float plugging a single connection.</w:t>
      </w:r>
    </w:p>
    <w:p>
      <w:pPr>
        <w:spacing w:before="210" w:after="0"/>
        <w:ind w:left="120"/>
        <w:jc w:val="both"/>
      </w:pPr>
      <w:r>
        <w:rPr>
          <w:rFonts w:ascii="Times New Roman" w:hAnsi="Times New Roman"/>
          <w:b/>
          <w:i w:val="false"/>
          <w:color w:val="000000"/>
          <w:sz w:val="22"/>
        </w:rPr>
        <w:t>875—91.15</w:t>
      </w:r>
      <w:r>
        <w:rPr>
          <w:rFonts w:ascii="Times New Roman" w:hAnsi="Times New Roman"/>
          <w:b/>
          <w:i w:val="false"/>
          <w:color w:val="000000"/>
          <w:sz w:val="22"/>
        </w:rPr>
        <w:t xml:space="preserve">(89) </w:t>
      </w:r>
      <w:r>
        <w:rPr>
          <w:rFonts w:ascii="Times New Roman" w:hAnsi="Times New Roman"/>
          <w:b/>
          <w:i w:val="false"/>
          <w:color w:val="000000"/>
          <w:sz w:val="22"/>
        </w:rPr>
        <w:t xml:space="preserve">Conditions not covered. </w:t>
      </w:r>
      <w:r>
        <w:rPr>
          <w:rFonts w:ascii="Times New Roman" w:hAnsi="Times New Roman"/>
          <w:b w:val="false"/>
          <w:i w:val="false"/>
          <w:color w:val="000000"/>
          <w:sz w:val="22"/>
        </w:rPr>
        <w:t>Any condition not governed by these rules shall be governed by the construction or installation code.</w:t>
      </w:r>
    </w:p>
    <w:p>
      <w:pPr>
        <w:spacing w:before="210" w:after="0"/>
        <w:ind w:left="120"/>
        <w:jc w:val="both"/>
      </w:pPr>
      <w:r>
        <w:rPr>
          <w:rFonts w:ascii="Times New Roman" w:hAnsi="Times New Roman"/>
          <w:b/>
          <w:i w:val="false"/>
          <w:color w:val="000000"/>
          <w:sz w:val="22"/>
        </w:rPr>
        <w:t>875—91.16</w:t>
      </w:r>
      <w:r>
        <w:rPr>
          <w:rFonts w:ascii="Times New Roman" w:hAnsi="Times New Roman"/>
          <w:b/>
          <w:i w:val="false"/>
          <w:color w:val="000000"/>
          <w:sz w:val="22"/>
        </w:rPr>
        <w:t xml:space="preserve">(89) </w:t>
      </w:r>
      <w:r>
        <w:rPr>
          <w:rFonts w:ascii="Times New Roman" w:hAnsi="Times New Roman"/>
          <w:b/>
          <w:i w:val="false"/>
          <w:color w:val="000000"/>
          <w:sz w:val="22"/>
        </w:rPr>
        <w:t xml:space="preserve">Nonstandard objects.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3/12/08</w:t>
      </w:r>
      <w:r>
        <w:rPr>
          <w:rFonts w:ascii="Times New Roman" w:hAnsi="Times New Roman"/>
          <w:b w:val="false"/>
          <w:i w:val="false"/>
          <w:color w:val="000000"/>
          <w:sz w:val="22"/>
        </w:rPr>
        <w:t>, effective 4/16/08.</w:t>
      </w:r>
    </w:p>
    <w:p>
      <w:pPr>
        <w:spacing w:before="210" w:after="0"/>
        <w:ind w:left="120"/>
        <w:jc w:val="both"/>
      </w:pPr>
      <w:r>
        <w:rPr>
          <w:rFonts w:ascii="Times New Roman" w:hAnsi="Times New Roman"/>
          <w:b/>
          <w:i w:val="false"/>
          <w:color w:val="000000"/>
          <w:sz w:val="22"/>
        </w:rPr>
        <w:t>875—91.17</w:t>
      </w:r>
      <w:r>
        <w:rPr>
          <w:rFonts w:ascii="Times New Roman" w:hAnsi="Times New Roman"/>
          <w:b/>
          <w:i w:val="false"/>
          <w:color w:val="000000"/>
          <w:sz w:val="22"/>
        </w:rPr>
        <w:t xml:space="preserve">(89) </w:t>
      </w:r>
      <w:r>
        <w:rPr>
          <w:rFonts w:ascii="Times New Roman" w:hAnsi="Times New Roman"/>
          <w:b/>
          <w:i w:val="false"/>
          <w:color w:val="000000"/>
          <w:sz w:val="22"/>
        </w:rPr>
        <w:t xml:space="preserve">English language and U.S. customary units required. </w:t>
      </w:r>
      <w:r>
        <w:rPr>
          <w:rFonts w:ascii="Times New Roman" w:hAnsi="Times New Roman"/>
          <w:b w:val="false"/>
          <w:i w:val="false"/>
          <w:color w:val="000000"/>
          <w:sz w:val="22"/>
        </w:rPr>
        <w:t>All documentation supplied for the unit including but not limited to the manufacturers’ data report, drawings, parts lists, installation manuals, and operating manuals shall be in English, and all measurements shall be in U.S. customary units. All pressure gages, thermometers and other controls and safety devices shall also be in U.S. customary units.</w:t>
      </w:r>
    </w:p>
    <w:p>
      <w:pPr>
        <w:spacing w:before="0" w:after="0"/>
        <w:ind w:left="120"/>
        <w:jc w:val="both"/>
      </w:pPr>
      <w:r>
        <w:rPr>
          <w:rFonts w:ascii="Times New Roman" w:hAnsi="Times New Roman"/>
          <w:b/>
          <w:i w:val="false"/>
          <w:color w:val="000000"/>
          <w:sz w:val="22"/>
        </w:rPr>
        <w:t>875—91.18</w:t>
      </w:r>
      <w:r>
        <w:rPr>
          <w:rFonts w:ascii="Times New Roman" w:hAnsi="Times New Roman"/>
          <w:b/>
          <w:i w:val="false"/>
          <w:color w:val="000000"/>
          <w:sz w:val="22"/>
        </w:rPr>
        <w:t xml:space="preserve">(89) </w:t>
      </w:r>
      <w:r>
        <w:rPr>
          <w:rFonts w:ascii="Times New Roman" w:hAnsi="Times New Roman"/>
          <w:b/>
          <w:i w:val="false"/>
          <w:color w:val="000000"/>
          <w:sz w:val="22"/>
        </w:rPr>
        <w:t xml:space="preserve">National Board registration. </w:t>
      </w:r>
      <w:r>
        <w:rPr>
          <w:rFonts w:ascii="Times New Roman" w:hAnsi="Times New Roman"/>
          <w:b w:val="false"/>
          <w:i w:val="false"/>
          <w:color w:val="000000"/>
          <w:sz w:val="22"/>
        </w:rPr>
        <w:t>Except for cast iron boilers and cast aluminum boilers, all objects shall be registered with the National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875—91.19</w:t>
      </w:r>
      <w:r>
        <w:rPr>
          <w:rFonts w:ascii="Times New Roman" w:hAnsi="Times New Roman"/>
          <w:b/>
          <w:i w:val="false"/>
          <w:color w:val="000000"/>
          <w:sz w:val="22"/>
        </w:rPr>
        <w:t xml:space="preserve">(89) </w:t>
      </w:r>
      <w:r>
        <w:rPr>
          <w:rFonts w:ascii="Times New Roman" w:hAnsi="Times New Roman"/>
          <w:b/>
          <w:i w:val="false"/>
          <w:color w:val="000000"/>
          <w:sz w:val="22"/>
        </w:rPr>
        <w:t xml:space="preserve">ASME stamp. </w:t>
      </w:r>
      <w:r>
        <w:rPr>
          <w:rFonts w:ascii="Times New Roman" w:hAnsi="Times New Roman"/>
          <w:b w:val="false"/>
          <w:i w:val="false"/>
          <w:color w:val="000000"/>
          <w:sz w:val="22"/>
        </w:rPr>
        <w:t>All objects shall bear the appropriate ASME stamp. Objects shall not be utilized in a manner inconsistent with the stamp.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875—91.20</w:t>
      </w:r>
      <w:r>
        <w:rPr>
          <w:rFonts w:ascii="Times New Roman" w:hAnsi="Times New Roman"/>
          <w:b/>
          <w:i w:val="false"/>
          <w:color w:val="000000"/>
          <w:sz w:val="22"/>
        </w:rPr>
        <w:t xml:space="preserve">(89) </w:t>
      </w:r>
      <w:r>
        <w:rPr>
          <w:rFonts w:ascii="Times New Roman" w:hAnsi="Times New Roman"/>
          <w:b/>
          <w:i w:val="false"/>
          <w:color w:val="000000"/>
          <w:sz w:val="22"/>
        </w:rPr>
        <w:t xml:space="preserve">CSD-1 reports and related documentation.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2589C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6/22/16</w:t>
      </w:r>
      <w:r>
        <w:rPr>
          <w:rFonts w:ascii="Times New Roman" w:hAnsi="Times New Roman"/>
          <w:b w:val="false"/>
          <w:i w:val="false"/>
          <w:color w:val="000000"/>
          <w:sz w:val="22"/>
        </w:rPr>
        <w:t>, effective 7/27/16.</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6/27/07, Notice 5/9/07—published 7/18/07, effective 8/22/07]</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8590B</w:t>
      </w:r>
      <w:r>
        <w:rPr>
          <w:rFonts w:ascii="Times New Roman" w:hAnsi="Times New Roman"/>
          <w:b w:val="false"/>
          <w:i w:val="false"/>
          <w:color w:val="000000"/>
          <w:sz w:val="21"/>
        </w:rPr>
        <w:t xml:space="preserve"> (Notice ARC 8391B,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1011C</w:t>
      </w:r>
      <w:r>
        <w:rPr>
          <w:rFonts w:ascii="Times New Roman" w:hAnsi="Times New Roman"/>
          <w:b w:val="false"/>
          <w:i w:val="false"/>
          <w:color w:val="000000"/>
          <w:sz w:val="21"/>
        </w:rPr>
        <w:t xml:space="preserve"> (Notice ARC 0817C, IAB 7/10/13)</w:t>
      </w:r>
      <w:r>
        <w:rPr>
          <w:rFonts w:ascii="Times New Roman" w:hAnsi="Times New Roman"/>
          <w:b w:val="false"/>
          <w:i w:val="false"/>
          <w:color w:val="000000"/>
          <w:sz w:val="21"/>
        </w:rPr>
        <w:t>, IAB 9/18/13, effective 10/31/13]</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4303C</w:t>
      </w:r>
      <w:r>
        <w:rPr>
          <w:rFonts w:ascii="Times New Roman" w:hAnsi="Times New Roman"/>
          <w:b w:val="false"/>
          <w:i w:val="false"/>
          <w:color w:val="000000"/>
          <w:sz w:val="21"/>
        </w:rPr>
        <w:t xml:space="preserve"> (Notice ARC 4179C,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6681C</w:t>
      </w:r>
      <w:r>
        <w:rPr>
          <w:rFonts w:ascii="Times New Roman" w:hAnsi="Times New Roman"/>
          <w:b w:val="false"/>
          <w:i w:val="false"/>
          <w:color w:val="000000"/>
          <w:sz w:val="21"/>
        </w:rPr>
        <w:t xml:space="preserve"> (Notice ARC 6541C, IAB 9/21/22)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5.90.11.pdf" Type="http://schemas.openxmlformats.org/officeDocument/2006/relationships/hyperlink" Id="rId5"/>
    <Relationship TargetMode="External" Target="https://www.legis.iowa.gov/docs/iac/rule/875.91.10.pdf" Type="http://schemas.openxmlformats.org/officeDocument/2006/relationships/hyperlink" Id="rId6"/>
    <Relationship TargetMode="External" Target="https://www.legis.iowa.gov/docs/iac/rule/875.91.1.pdf" Type="http://schemas.openxmlformats.org/officeDocument/2006/relationships/hyperlink" Id="rId7"/>
    <Relationship TargetMode="External" Target="https://www.legis.iowa.gov/docs/iac/rule/875.91.13.pdf" Type="http://schemas.openxmlformats.org/officeDocument/2006/relationships/hyperlink" Id="rId8"/>
    <Relationship TargetMode="External" Target="https://www.legis.iowa.gov/docs/iac/rule/875.91.1.pdf" Type="http://schemas.openxmlformats.org/officeDocument/2006/relationships/hyperlink" Id="rId9"/>
    <Relationship TargetMode="External" Target="https://www.legis.iowa.gov/docs/iac/rule/875.91.13.pdf" Type="http://schemas.openxmlformats.org/officeDocument/2006/relationships/hyperlink" Id="rId10"/>
    <Relationship TargetMode="External" Target="https://www.legis.iowa.gov/docs/ico/chapter/8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