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OSHA DISCRIMINATION AGAINST EMPLOYEES</w:t>
      </w:r>
    </w:p>
    <w:p>
      <w:pPr>
        <w:spacing w:before="0" w:after="0"/>
        <w:ind w:left="120"/>
        <w:jc w:val="center"/>
      </w:pPr>
      <w:r>
        <w:rPr>
          <w:rFonts w:ascii="Times New Roman" w:hAnsi="Times New Roman"/>
          <w:b w:val="false"/>
          <w:i w:val="false"/>
          <w:color w:val="000000"/>
          <w:sz w:val="14"/>
        </w:rPr>
        <w:t>[Previously Ch 8 IAC renumbered 12/24/80]</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875—9.1</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and proceedings under or related to the Iowa occupational safety and health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about occupational safety and health, if made in good faith, are related to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hereinafter referred to as the Act, and an employee is protected against discharge or discrimination caused by a complaint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If an employee, with no reasonable alternative, refuses in good faith to be exposed to a dangerous condition, the employee is protected against subsequent discrimination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employee’s apprehension of death or injury must be of such a nature that a reasonable person, under the circumstances then confronting the employee, would conclude that there is a real danger of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where possible, first sought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Eliminate the danger through resorting to regular statutory enforcement channels unless there has been insufficient time due to the urgency of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employer a correction of the dangerous condition but was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of, or discrimination against, any employee because the employee “has testified or is about to testify” in proceedings under or related to the Act extends to any statements given in the course of judicial, quasi-judicial, and administrative proceedings, including inspections, investigations, and administrative rulemaking or adjudicative functions. If the employee is giving or is about to give testimony in any proceeding under or related to the Act, the employee would be protected against discrimination resulting from such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need not directly institute the proceedings. It is sufficient if the employee sets into motion activities of others that result in proceedings under or related to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failure to pay employees for time during which the employees are engaged in walkaround inspections or in other inspection-related activities, such as responding to questions of compliance officers or participating in the opening and closing conferences, is discriminatory under Iowa Code section </w:t>
      </w:r>
      <w:hyperlink r:id="rId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so long as neither the number of employees participating nor the time required to express employee concerns is excessive.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employee’s engagement in protected activity need not be the sole consideration behind discharge or other adverse action. If protected activity was a substantial reason for the action, or if the discharge or other adverse action would not have taken place “but for” engagement in protected activity, Iowa Code section </w:t>
      </w:r>
      <w:hyperlink r:id="rId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has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Iowa Code section </w:t>
      </w:r>
      <w:hyperlink r:id="rId8">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are not limited to actions taken by employers against their own employees. A person may be chargeable with discriminatory action against an employee of another person. Iowa Code section </w:t>
      </w:r>
      <w:hyperlink r:id="rId9">
        <w:r>
          <w:rPr>
            <w:rStyle w:val="Hyperlink"/>
            <w:rFonts w:ascii="Times New Roman" w:hAnsi="Times New Roman"/>
            <w:b w:val="false"/>
            <w:i w:val="false"/>
            <w:color w:val="000000"/>
            <w:sz w:val="22"/>
          </w:rPr>
          <w:t>88.9(3) </w:t>
        </w:r>
      </w:hyperlink>
      <w:r>
        <w:rPr>
          <w:rFonts w:ascii="Times New Roman" w:hAnsi="Times New Roman"/>
          <w:b w:val="false"/>
          <w:i w:val="false"/>
          <w:color w:val="000000"/>
          <w:sz w:val="22"/>
        </w:rPr>
        <w:t>extends to such entities as organizations representing employees for collective bargaining purposes, employment agencies, or any other person in a position to discriminate against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875—9.2</w:t>
      </w:r>
      <w:r>
        <w:rPr>
          <w:rFonts w:ascii="Times New Roman" w:hAnsi="Times New Roman"/>
          <w:b/>
          <w:i w:val="false"/>
          <w:color w:val="000000"/>
          <w:sz w:val="22"/>
        </w:rPr>
        <w:t xml:space="preserve">(88)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taken by an employer or others that adversely affect an employee may be predicated upon nondiscriminatory grounds. The proscriptions of Iowa Code section </w:t>
      </w:r>
      <w:hyperlink r:id="rId10">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apply when the adverse action occurs because the employee has engaged in protected activities. An employee’s engagement in activities protected by the Act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would not ordinarily be in violation of Iowa Code section </w:t>
      </w:r>
      <w:hyperlink r:id="rId1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by taking action to discipline an employee for refusing to perform normal job activities because of alleged safety or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Disciplinary measures taken by employers solely in response to employee refusal to comply with appropriate safety rules and regulations will not ordinarily be regarded as discriminatory action prohibited by Iowa Code section </w:t>
      </w:r>
      <w:hyperlink r:id="rId12">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875—9.3</w:t>
      </w:r>
      <w:r>
        <w:rPr>
          <w:rFonts w:ascii="Times New Roman" w:hAnsi="Times New Roman"/>
          <w:b/>
          <w:i w:val="false"/>
          <w:color w:val="000000"/>
          <w:sz w:val="22"/>
        </w:rPr>
        <w:t xml:space="preserve">(88) </w:t>
      </w:r>
      <w:r>
        <w:rPr>
          <w:rFonts w:ascii="Times New Roman" w:hAnsi="Times New Roman"/>
          <w:b/>
          <w:i w:val="false"/>
          <w:color w:val="000000"/>
          <w:sz w:val="22"/>
        </w:rPr>
        <w:t xml:space="preserve">Filing of complaint for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of Iowa Code section </w:t>
      </w:r>
      <w:hyperlink r:id="rId13">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discrimination may be filed by the employee or by a representative authorized to do so on the employee’s behalf. No particular form of complaint is required. A complaint should be filed with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 (e.g., where the employer has concealed or misled the employee regarding the grounds for discharge or other adverse action or where the discrimination is in the nature of a continuing violation). The pendency of grievance-arbitration proceedings or filing with another agency, among others, are circumstances that do not justify tolling of the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val="false"/>
          <w:color w:val="000000"/>
          <w:sz w:val="22"/>
        </w:rPr>
        <w:t>Withdrawal of complaint. Attempts by an employee to withdraw a previously filed complaint will not necessarily result in termination of the labor commissioner’s investigation. However, a voluntary and uncoerced request from a complainant to withdraw the complaint will be given careful consideration and substantial weight.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determination. </w:t>
      </w:r>
      <w:r>
        <w:rPr>
          <w:rFonts w:ascii="Times New Roman" w:hAnsi="Times New Roman"/>
          <w:b w:val="false"/>
          <w:i w:val="false"/>
          <w:color w:val="000000"/>
          <w:sz w:val="22"/>
        </w:rPr>
        <w:t>Iowa Code section </w:t>
      </w:r>
      <w:hyperlink r:id="rId14">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provides that within 90 days of the filing of a complaint, the labor commissioner is to notify a complainant whether prohibited discrimination occurred. This 90-day provision is considered to be directory in 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875—9.5</w:t>
      </w:r>
      <w:r>
        <w:rPr>
          <w:rFonts w:ascii="Times New Roman" w:hAnsi="Times New Roman"/>
          <w:b/>
          <w:i w:val="false"/>
          <w:color w:val="000000"/>
          <w:sz w:val="22"/>
        </w:rPr>
        <w:t xml:space="preserve">(88) </w:t>
      </w:r>
      <w:r>
        <w:rPr>
          <w:rFonts w:ascii="Times New Roman" w:hAnsi="Times New Roman"/>
          <w:b/>
          <w:i w:val="false"/>
          <w:color w:val="000000"/>
          <w:sz w:val="22"/>
        </w:rPr>
        <w:t xml:space="preserve">Arbitration or other agency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commissioner’s jurisdiction to entertain complaints related to Iowa Code section </w:t>
      </w:r>
      <w:hyperlink r:id="rId15">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complaints is independent of the jurisdiction of the other agencies or bodies. The labor commissioner may file action in district court regardless of the pendency of other proceedings. However, due deference should be paid to the jurisdiction of other forums established to resolve disputes that may also be related to complaints under Iowa Code section </w:t>
      </w:r>
      <w:hyperlink r:id="rId1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 xml:space="preserve">Postponement of determination is justified where the rights asserted in other proceedings are substantially the same as rights under Iowa Code section </w:t>
      </w:r>
      <w:hyperlink r:id="rId1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A determination to defer to the outcome of other proceedings initiated by a complainant must necessarily be made on a case-to-case basis, after careful scrutiny of all available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4/27/79, Notice 11/29/78—published 5/16/79, effective 6/25/79]</w:t>
      </w:r>
    </w:p>
    <w:p>
      <w:pPr>
        <w:spacing w:before="0" w:after="0"/>
        <w:ind w:left="120"/>
        <w:jc w:val="center"/>
      </w:pPr>
      <w:r>
        <w:rPr>
          <w:rFonts w:ascii="Times New Roman" w:hAnsi="Times New Roman"/>
          <w:b w:val="false"/>
          <w:i w:val="false"/>
          <w:color w:val="000000"/>
          <w:sz w:val="21"/>
        </w:rPr>
        <w:t>[Filed emergency 5/11/79—published 5/30/79, effective 6/25/79]</w:t>
      </w:r>
    </w:p>
    <w:p>
      <w:pPr>
        <w:spacing w:before="0" w:after="0"/>
        <w:ind w:left="120"/>
        <w:jc w:val="center"/>
      </w:pPr>
      <w:r>
        <w:rPr>
          <w:rFonts w:ascii="Times New Roman" w:hAnsi="Times New Roman"/>
          <w:b w:val="false"/>
          <w:i w:val="false"/>
          <w:color w:val="000000"/>
          <w:sz w:val="21"/>
        </w:rPr>
        <w:t>[Filed emergency 6/8/79—published 6/27/79, effective 6/25/79]</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1/21/00, Notice 8/25/99—published 2/9/00, effective 3/15/00]</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8449C</w:t>
      </w:r>
      <w:r>
        <w:rPr>
          <w:rFonts w:ascii="Times New Roman" w:hAnsi="Times New Roman"/>
          <w:b w:val="false"/>
          <w:i w:val="false"/>
          <w:color w:val="000000"/>
          <w:sz w:val="21"/>
        </w:rPr>
        <w:t xml:space="preserve"> (Notice ARC 8254C, IAB 10/16/24)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9.pdf" Type="http://schemas.openxmlformats.org/officeDocument/2006/relationships/hyperlink" Id="rId6"/>
    <Relationship TargetMode="External" Target="https://www.legis.iowa.gov/docs/ico/chapter/88.9.pdf" Type="http://schemas.openxmlformats.org/officeDocument/2006/relationships/hyperlink" Id="rId7"/>
    <Relationship TargetMode="External" Target="https://www.legis.iowa.gov/docs/ico/chapter/88.9.pdf" Type="http://schemas.openxmlformats.org/officeDocument/2006/relationships/hyperlink" Id="rId8"/>
    <Relationship TargetMode="External" Target="https://www.legis.iowa.gov/docs/ico/chapter/88.9.pdf" Type="http://schemas.openxmlformats.org/officeDocument/2006/relationships/hyperlink" Id="rId9"/>
    <Relationship TargetMode="External" Target="https://www.legis.iowa.gov/docs/ico/chapter/88.9.pdf" Type="http://schemas.openxmlformats.org/officeDocument/2006/relationships/hyperlink" Id="rId10"/>
    <Relationship TargetMode="External" Target="https://www.legis.iowa.gov/docs/ico/chapter/88.9.pdf" Type="http://schemas.openxmlformats.org/officeDocument/2006/relationships/hyperlink" Id="rId11"/>
    <Relationship TargetMode="External" Target="https://www.legis.iowa.gov/docs/ico/chapter/88.9.pdf" Type="http://schemas.openxmlformats.org/officeDocument/2006/relationships/hyperlink" Id="rId12"/>
    <Relationship TargetMode="External" Target="https://www.legis.iowa.gov/docs/ico/chapter/88.9.pdf" Type="http://schemas.openxmlformats.org/officeDocument/2006/relationships/hyperlink" Id="rId13"/>
    <Relationship TargetMode="External" Target="https://www.legis.iowa.gov/docs/ico/chapter/88.9.pdf" Type="http://schemas.openxmlformats.org/officeDocument/2006/relationships/hyperlink" Id="rId14"/>
    <Relationship TargetMode="External" Target="https://www.legis.iowa.gov/docs/ico/chapter/88.9.pdf" Type="http://schemas.openxmlformats.org/officeDocument/2006/relationships/hyperlink" Id="rId15"/>
    <Relationship TargetMode="External" Target="https://www.legis.iowa.gov/docs/ico/chapter/88.9.pdf" Type="http://schemas.openxmlformats.org/officeDocument/2006/relationships/hyperlink" Id="rId16"/>
    <Relationship TargetMode="External" Target="https://www.legis.iowa.gov/docs/ico/chapter/88.9.pdf" Type="http://schemas.openxmlformats.org/officeDocument/2006/relationships/hyperlink" Id="rId17"/>
    <Relationship TargetMode="External" Target="https://www.legis.iowa.gov/docs/ico/chapter/84A.1.pdf" Type="http://schemas.openxmlformats.org/officeDocument/2006/relationships/hyperlink" Id="rId18"/>
    <Relationship TargetMode="External" Target="https://www.legis.iowa.gov/docs/ico/chapter/84A.2.pdf" Type="http://schemas.openxmlformats.org/officeDocument/2006/relationships/hyperlink" Id="rId19"/>
    <Relationship TargetMode="External" Target="https://www.legis.iowa.gov/docs/ico/chapter/88.2.pdf" Type="http://schemas.openxmlformats.org/officeDocument/2006/relationships/hyperlink" Id="rId20"/>
    <Relationship TargetMode="External" Target="https://www.legis.iowa.gov/docs/ico/chapter/88.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