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CONTESTED CASES BEFORE THE BOILER AND PRESSURE VESSEL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875—84.1</w:t>
      </w:r>
      <w:r>
        <w:rPr>
          <w:rFonts w:ascii="Times New Roman" w:hAnsi="Times New Roman"/>
          <w:b/>
          <w:i w:val="false"/>
          <w:color w:val="000000"/>
          <w:sz w:val="22"/>
        </w:rPr>
        <w:t xml:space="preserve">(17A,89) </w:t>
      </w:r>
      <w:r>
        <w:rPr>
          <w:rFonts w:ascii="Times New Roman" w:hAnsi="Times New Roman"/>
          <w:b/>
          <w:i w:val="false"/>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commissioner for reconsideration of the report within 30 days of the issuance of the report. Failure to seek timely reconsideration of the inspection report from the commissioner shall be deemed a waiver of all appeal rights under Iowa Code subsection </w:t>
      </w:r>
      <w:hyperlink r:id="rId5">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reconsideration shall be in writing and must be signed by the requesting party or a representative of that party. The required form for a petition for reconsideration is available on the board’s website at </w:t>
      </w:r>
      <w:hyperlink r:id="rId6">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commissioner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w:t>
      </w:r>
      <w:r>
        <w:rPr>
          <w:rFonts w:ascii="Times New Roman" w:hAnsi="Times New Roman"/>
          <w:b w:val="false"/>
          <w:i w:val="false"/>
          <w:color w:val="000000"/>
          <w:sz w:val="22"/>
        </w:rPr>
        <w:t> </w:t>
      </w:r>
      <w:r>
        <w:rPr>
          <w:rFonts w:ascii="Times New Roman" w:hAnsi="Times New Roman"/>
          <w:b w:val="false"/>
          <w:i w:val="false"/>
          <w:color w:val="000000"/>
          <w:sz w:val="22"/>
        </w:rPr>
        <w:t>The commissioner or a designee of the commissioner is authorized to seek additional information relating to a petition for reconsideration from the petitioning party or any other entity possessing information the commissioner deems relevant to the petition. This subrule, however, does not impose any responsibility or duty on the commissioner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commissioner within 30 days of the issuance of the challenged inspection report shall be deemed untimely and will not be considered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not consider any request for waiver or variance of an administrative rule made as part of a petition for reconsideration. Requests for waivers or variances of administrative rules may only be made to the board pursuant to the provisions of </w:t>
      </w:r>
      <w:hyperlink r:id="rId7">
        <w:r>
          <w:rPr>
            <w:rStyle w:val="Hyperlink"/>
            <w:rFonts w:ascii="Times New Roman" w:hAnsi="Times New Roman"/>
            <w:b w:val="false"/>
            <w:i w:val="false"/>
            <w:color w:val="000000"/>
            <w:sz w:val="22"/>
          </w:rPr>
          <w:t>875—Chapter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issue a written ruling on the petition for reconsideration. In ruling on a petition for reconsideration, the commissioner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commissioner within 20 days of receipt by the office of the commissioner shall be deemed denied by the commissioner and the challenged inspection report shall be considered affirmed 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875—84.2</w:t>
      </w:r>
      <w:r>
        <w:rPr>
          <w:rFonts w:ascii="Times New Roman" w:hAnsi="Times New Roman"/>
          <w:b/>
          <w:i w:val="false"/>
          <w:color w:val="000000"/>
          <w:sz w:val="22"/>
        </w:rPr>
        <w:t xml:space="preserve">(17A,89) </w:t>
      </w:r>
      <w:r>
        <w:rPr>
          <w:rFonts w:ascii="Times New Roman" w:hAnsi="Times New Roman"/>
          <w:b/>
          <w:i w:val="false"/>
          <w:color w:val="000000"/>
          <w:sz w:val="22"/>
        </w:rPr>
        <w:t xml:space="preserve">Appeal to the board. </w:t>
      </w:r>
      <w:r>
        <w:rPr>
          <w:rFonts w:ascii="Times New Roman" w:hAnsi="Times New Roman"/>
          <w:b w:val="false"/>
          <w:i w:val="false"/>
          <w:color w:val="000000"/>
          <w:sz w:val="22"/>
        </w:rPr>
        <w:t xml:space="preserve">The commissioner’s ruling on a petition for reconsideration or the commissioner’s deemed denial of a petition for reconsideration may be appealed to the board. An appeal must be filed in writing with the board within 30 calendar days of the earlier of either the issuance of the commissioner’s written ruling on a petition for reconsideration or the commissioner’s deemed denial of a petition for reconsideration. At a minimum, an appeal shall include a short and concise statement of the basis for the appeal. The required form for an appeal is available on the board’s website at </w:t>
      </w:r>
      <w:hyperlink r:id="rId8">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xml:space="preserve">. Consideration of an appeal of a ruling on a petition for reconsideration shall be a contested case proceeding subject to the provisions of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commissioner shall have an automatic right of intervention in any appeal of the ruling on petition for reconsideration and shall defend the ruling in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875—84.3</w:t>
      </w:r>
      <w:r>
        <w:rPr>
          <w:rFonts w:ascii="Times New Roman" w:hAnsi="Times New Roman"/>
          <w:b/>
          <w:i w:val="false"/>
          <w:color w:val="000000"/>
          <w:sz w:val="22"/>
        </w:rPr>
        <w:t xml:space="preserve">(17A,89) </w:t>
      </w:r>
      <w:r>
        <w:rPr>
          <w:rFonts w:ascii="Times New Roman" w:hAnsi="Times New Roman"/>
          <w:b/>
          <w:i w:val="false"/>
          <w:color w:val="000000"/>
          <w:sz w:val="22"/>
        </w:rPr>
        <w:t xml:space="preserve">Informal review. </w:t>
      </w:r>
      <w:r>
        <w:rPr>
          <w:rFonts w:ascii="Times New Roman" w:hAnsi="Times New Roman"/>
          <w:b w:val="false"/>
          <w:i w:val="false"/>
          <w:color w:val="000000"/>
          <w:sz w:val="22"/>
        </w:rPr>
        <w:t>If the appellant requests an informal review and the commissioner does not object, the board may conduct an informal review of the facts and circumstances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a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10">
        <w:r>
          <w:rPr>
            <w:rStyle w:val="Hyperlink"/>
            <w:rFonts w:ascii="Times New Roman" w:hAnsi="Times New Roman"/>
            <w:b w:val="false"/>
            <w:i w:val="false"/>
            <w:color w:val="000000"/>
            <w:sz w:val="22"/>
          </w:rPr>
          <w:t>875—84.4</w:t>
        </w:r>
      </w:hyperlink>
      <w:r>
        <w:rPr>
          <w:rFonts w:ascii="Times New Roman" w:hAnsi="Times New Roman"/>
          <w:b w:val="false"/>
          <w:i w:val="false"/>
          <w:color w:val="000000"/>
          <w:sz w:val="22"/>
        </w:rPr>
        <w:t xml:space="preserve">(17A,89) through </w:t>
      </w:r>
      <w:hyperlink r:id="rId11">
        <w:r>
          <w:rPr>
            <w:rStyle w:val="Hyperlink"/>
            <w:rFonts w:ascii="Times New Roman" w:hAnsi="Times New Roman"/>
            <w:b w:val="false"/>
            <w:i w:val="false"/>
            <w:color w:val="000000"/>
            <w:sz w:val="22"/>
          </w:rPr>
          <w:t>875—84.31</w:t>
        </w:r>
      </w:hyperlink>
      <w:r>
        <w:rPr>
          <w:rFonts w:ascii="Times New Roman" w:hAnsi="Times New Roman"/>
          <w:b w:val="false"/>
          <w:i w:val="false"/>
          <w:color w:val="000000"/>
          <w:sz w:val="22"/>
        </w:rPr>
        <w:t>(17A,89) do not apply during informal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875—84.4</w:t>
      </w:r>
      <w:r>
        <w:rPr>
          <w:rFonts w:ascii="Times New Roman" w:hAnsi="Times New Roman"/>
          <w:b/>
          <w:i w:val="false"/>
          <w:color w:val="000000"/>
          <w:sz w:val="22"/>
        </w:rPr>
        <w:t xml:space="preserve">(17A,89) </w:t>
      </w:r>
      <w:r>
        <w:rPr>
          <w:rFonts w:ascii="Times New Roman" w:hAnsi="Times New Roman"/>
          <w:b/>
          <w:i w:val="false"/>
          <w:color w:val="000000"/>
          <w:sz w:val="22"/>
        </w:rPr>
        <w:t xml:space="preserve">Delivery of notice. </w:t>
      </w:r>
      <w:r>
        <w:rPr>
          <w:rFonts w:ascii="Times New Roman" w:hAnsi="Times New Roman"/>
          <w:b w:val="false"/>
          <w:i w:val="false"/>
          <w:color w:val="000000"/>
          <w:sz w:val="22"/>
        </w:rPr>
        <w:t>Delivery of the notice of hearing by the board constitutes the commencement of a contested case proceeding. Delivery may be executed by regular mail. The notice shall be delivered to the appellant, the appellant’s attorney, if known, and the commissioner.</w:t>
      </w:r>
    </w:p>
    <w:p>
      <w:pPr>
        <w:spacing w:before="210" w:after="0"/>
        <w:ind w:left="120"/>
        <w:jc w:val="both"/>
      </w:pPr>
      <w:r>
        <w:rPr>
          <w:rFonts w:ascii="Times New Roman" w:hAnsi="Times New Roman"/>
          <w:b/>
          <w:i w:val="false"/>
          <w:color w:val="000000"/>
          <w:sz w:val="22"/>
        </w:rPr>
        <w:t>875—84.5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Contents of notice. </w:t>
      </w:r>
      <w:r>
        <w:rPr>
          <w:rFonts w:ascii="Times New Roman" w:hAnsi="Times New Roman"/>
          <w:b w:val="false"/>
          <w:i w:val="false"/>
          <w:color w:val="000000"/>
          <w:sz w:val="22"/>
        </w:rPr>
        <w:t>The notice of hearing shall contain a statement of the time, place, and nature of the hearing. The notice shall contain a short and plain statement of the matters asserted. If the board is unable to state the matters in detail at the time the notice is served, the initial notice may be limited to a statement of the issues involved. Thereafter, upon application, a more definite and detailed statement shall be furnished. The notice shall contain a statement that it is the appellant’s burden on appeal to prove compliance with all applicable statutory provisions, administrative rules, and ASME code sections. The notice shall also contain a reference to the applicable statute and rules.</w:t>
      </w:r>
    </w:p>
    <w:p>
      <w:pPr>
        <w:spacing w:before="210" w:after="0"/>
        <w:ind w:left="120"/>
        <w:jc w:val="both"/>
      </w:pPr>
      <w:r>
        <w:rPr>
          <w:rFonts w:ascii="Times New Roman" w:hAnsi="Times New Roman"/>
          <w:b/>
          <w:i w:val="false"/>
          <w:color w:val="000000"/>
          <w:sz w:val="22"/>
        </w:rPr>
        <w:t>875—84.6</w:t>
      </w:r>
      <w:r>
        <w:rPr>
          <w:rFonts w:ascii="Times New Roman" w:hAnsi="Times New Roman"/>
          <w:b/>
          <w:i w:val="false"/>
          <w:color w:val="000000"/>
          <w:sz w:val="22"/>
        </w:rPr>
        <w:t xml:space="preserve">(17A,89) </w:t>
      </w:r>
      <w:r>
        <w:rPr>
          <w:rFonts w:ascii="Times New Roman" w:hAnsi="Times New Roman"/>
          <w:b/>
          <w:i w:val="false"/>
          <w:color w:val="000000"/>
          <w:sz w:val="22"/>
        </w:rPr>
        <w:t xml:space="preserve">Scope of issues. </w:t>
      </w:r>
      <w:r>
        <w:rPr>
          <w:rFonts w:ascii="Times New Roman" w:hAnsi="Times New Roman"/>
          <w:b w:val="false"/>
          <w:i w:val="false"/>
          <w:color w:val="000000"/>
          <w:sz w:val="22"/>
        </w:rPr>
        <w:t>Only those issues raised before the commissioner in the petition for reconsideration will be considered preserved for appeal to the board.</w:t>
      </w:r>
    </w:p>
    <w:p>
      <w:pPr>
        <w:spacing w:before="210" w:after="0"/>
        <w:ind w:left="120"/>
        <w:jc w:val="both"/>
      </w:pPr>
      <w:r>
        <w:rPr>
          <w:rFonts w:ascii="Times New Roman" w:hAnsi="Times New Roman"/>
          <w:b/>
          <w:i w:val="false"/>
          <w:color w:val="000000"/>
          <w:sz w:val="22"/>
        </w:rPr>
        <w:t>875—84.7</w:t>
      </w:r>
      <w:r>
        <w:rPr>
          <w:rFonts w:ascii="Times New Roman" w:hAnsi="Times New Roman"/>
          <w:b/>
          <w:i w:val="false"/>
          <w:color w:val="000000"/>
          <w:sz w:val="22"/>
        </w:rPr>
        <w:t xml:space="preserve">(17A,89) </w:t>
      </w:r>
      <w:r>
        <w:rPr>
          <w:rFonts w:ascii="Times New Roman" w:hAnsi="Times New Roman"/>
          <w:b/>
          <w:i w:val="false"/>
          <w:color w:val="000000"/>
          <w:sz w:val="22"/>
        </w:rPr>
        <w:t xml:space="preserve">File transmitted to the board. </w:t>
      </w:r>
      <w:r>
        <w:rPr>
          <w:rFonts w:ascii="Times New Roman" w:hAnsi="Times New Roman"/>
          <w:b w:val="false"/>
          <w:i w:val="false"/>
          <w:color w:val="000000"/>
          <w:sz w:val="22"/>
        </w:rPr>
        <w:t>Upon receipt of a notice of hearing issued by the board, the commissioner shall within 30 days forward to the board and all parties of record to the appeal copies of the challenged inspection report, the appellant’s petition for reconsideration and all supporting documents, all other documents collected by the commissioner in ruling on the petition for reconsideration, and the commissioner’s ruling on the petition for reconsideration.</w:t>
      </w:r>
    </w:p>
    <w:p>
      <w:pPr>
        <w:spacing w:before="210" w:after="0"/>
        <w:ind w:left="120"/>
        <w:jc w:val="both"/>
      </w:pPr>
      <w:r>
        <w:rPr>
          <w:rFonts w:ascii="Times New Roman" w:hAnsi="Times New Roman"/>
          <w:b/>
          <w:i w:val="false"/>
          <w:color w:val="000000"/>
          <w:sz w:val="22"/>
        </w:rPr>
        <w:t>875—84.8</w:t>
      </w:r>
      <w:r>
        <w:rPr>
          <w:rFonts w:ascii="Times New Roman" w:hAnsi="Times New Roman"/>
          <w:b/>
          <w:i w:val="false"/>
          <w:color w:val="000000"/>
          <w:sz w:val="22"/>
        </w:rPr>
        <w:t xml:space="preserve">(17A,89)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Any private party to a contested case shall be entitled to legal representation at the discretion and expense of that party.</w:t>
      </w:r>
    </w:p>
    <w:p>
      <w:pPr>
        <w:spacing w:before="0" w:after="0"/>
        <w:ind w:left="120"/>
        <w:jc w:val="both"/>
      </w:pPr>
      <w:r>
        <w:rPr>
          <w:rFonts w:ascii="Times New Roman" w:hAnsi="Times New Roman"/>
          <w:b/>
          <w:i w:val="false"/>
          <w:color w:val="000000"/>
          <w:sz w:val="22"/>
        </w:rPr>
        <w:t>875—84.9</w:t>
      </w:r>
      <w:r>
        <w:rPr>
          <w:rFonts w:ascii="Times New Roman" w:hAnsi="Times New Roman"/>
          <w:b/>
          <w:i w:val="false"/>
          <w:color w:val="000000"/>
          <w:sz w:val="22"/>
        </w:rPr>
        <w:t xml:space="preserve">(17A,89)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contested cases shall be the board, a panel of board members, or an administrative law judge assigned by the department of inspections and appeals. When board members act as presiding officer, they shall conduct the hearing and issue either a final decision or, if a quorum of the board is not present, a proposed decision. As provided in subrule </w:t>
      </w:r>
      <w:hyperlink r:id="rId12">
        <w:r>
          <w:rPr>
            <w:rStyle w:val="Hyperlink"/>
            <w:rFonts w:ascii="Times New Roman" w:hAnsi="Times New Roman"/>
            <w:b w:val="false"/>
            <w:i w:val="false"/>
            <w:color w:val="000000"/>
            <w:sz w:val="22"/>
          </w:rPr>
          <w:t>84.9(4)</w:t>
        </w:r>
      </w:hyperlink>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84.9(2)</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that wishes to request that the presiding officer assigned to render a proposed decision be an administrative law judge employed by the department of inspections and appeals must file a written request within 20 days after service of a notice of hearing which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interboard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granted, the administrative law judge assigned to act as presiding officer and to issue a proposed decision in a contested case shall have a J.D. degree unless this requirement is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13">
        <w:r>
          <w:rPr>
            <w:rStyle w:val="Hyperlink"/>
            <w:rFonts w:ascii="Times New Roman" w:hAnsi="Times New Roman"/>
            <w:b w:val="false"/>
            <w:i w:val="false"/>
            <w:color w:val="000000"/>
            <w:sz w:val="22"/>
          </w:rPr>
          <w:t>875—84.26</w:t>
        </w:r>
      </w:hyperlink>
      <w:r>
        <w:rPr>
          <w:rFonts w:ascii="Times New Roman" w:hAnsi="Times New Roman"/>
          <w:b w:val="false"/>
          <w:i w:val="false"/>
          <w:color w:val="000000"/>
          <w:sz w:val="22"/>
        </w:rPr>
        <w:t xml:space="preserve">(17A,89) and </w:t>
      </w:r>
      <w:hyperlink r:id="rId14">
        <w:r>
          <w:rPr>
            <w:rStyle w:val="Hyperlink"/>
            <w:rFonts w:ascii="Times New Roman" w:hAnsi="Times New Roman"/>
            <w:b w:val="false"/>
            <w:i w:val="false"/>
            <w:color w:val="000000"/>
            <w:sz w:val="22"/>
          </w:rPr>
          <w:t>875—84.27</w:t>
        </w:r>
      </w:hyperlink>
      <w:r>
        <w:rPr>
          <w:rFonts w:ascii="Times New Roman" w:hAnsi="Times New Roman"/>
          <w:b w:val="false"/>
          <w:i w:val="false"/>
          <w:color w:val="000000"/>
          <w:sz w:val="22"/>
        </w:rPr>
        <w:t>(17A,89).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shall have the powers of and shall comply with the provisions of this chapter that apply to presiding officers.</w:t>
      </w:r>
    </w:p>
    <w:p>
      <w:pPr>
        <w:spacing w:before="0" w:after="0"/>
        <w:ind w:left="120"/>
        <w:jc w:val="both"/>
      </w:pPr>
      <w:r>
        <w:rPr>
          <w:rFonts w:ascii="Times New Roman" w:hAnsi="Times New Roman"/>
          <w:b/>
          <w:i w:val="false"/>
          <w:color w:val="000000"/>
          <w:sz w:val="22"/>
        </w:rPr>
        <w:t>875—84.10</w:t>
      </w:r>
      <w:r>
        <w:rPr>
          <w:rFonts w:ascii="Times New Roman" w:hAnsi="Times New Roman"/>
          <w:b/>
          <w:i w:val="false"/>
          <w:color w:val="000000"/>
          <w:sz w:val="22"/>
        </w:rPr>
        <w:t xml:space="preserve">(17A,89)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when a document is filed in a contested case proceeding, it shall be served upon each of the parties of record. Except for the original notice of hearing and an application for rehearing as provided in Iowa Code section </w:t>
      </w:r>
      <w:hyperlink r:id="rId15">
        <w:r>
          <w:rPr>
            <w:rStyle w:val="Hyperlink"/>
            <w:rFonts w:ascii="Times New Roman" w:hAnsi="Times New Roman"/>
            <w:b w:val="false"/>
            <w:i w:val="false"/>
            <w:color w:val="000000"/>
            <w:sz w:val="22"/>
          </w:rPr>
          <w:t>17A.16, subsection 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board office. 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board at the location set forth in rule </w:t>
      </w:r>
      <w:hyperlink r:id="rId16">
        <w:r>
          <w:rPr>
            <w:rStyle w:val="Hyperlink"/>
            <w:rFonts w:ascii="Times New Roman" w:hAnsi="Times New Roman"/>
            <w:b w:val="false"/>
            <w:i w:val="false"/>
            <w:color w:val="000000"/>
            <w:sz w:val="22"/>
          </w:rPr>
          <w:t>875—80.5</w:t>
        </w:r>
      </w:hyperlink>
      <w:r>
        <w:rPr>
          <w:rFonts w:ascii="Times New Roman" w:hAnsi="Times New Roman"/>
          <w:b w:val="false"/>
          <w:i w:val="false"/>
          <w:color w:val="000000"/>
          <w:sz w:val="22"/>
        </w:rPr>
        <w:t>(89),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45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Boiler and Pressure Vessel Board, Department of Workforce Development, Division of Labor Services, 150 Des Moines Street, Des Moines, Iowa 50309, and to the names and addresses of the parties listed below by depositing the same in a United States post office mailbox with correct postage properly affixed.</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875—84.11</w:t>
      </w:r>
      <w:r>
        <w:rPr>
          <w:rFonts w:ascii="Times New Roman" w:hAnsi="Times New Roman"/>
          <w:b/>
          <w:i w:val="false"/>
          <w:color w:val="000000"/>
          <w:sz w:val="22"/>
        </w:rPr>
        <w:t xml:space="preserve">(17A,89)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1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210" w:after="0"/>
        <w:ind w:left="120"/>
        <w:jc w:val="both"/>
      </w:pPr>
      <w:r>
        <w:rPr>
          <w:rFonts w:ascii="Times New Roman" w:hAnsi="Times New Roman"/>
          <w:b/>
          <w:i w:val="false"/>
          <w:color w:val="000000"/>
          <w:sz w:val="22"/>
        </w:rPr>
        <w:t>875—84.12</w:t>
      </w:r>
      <w:r>
        <w:rPr>
          <w:rFonts w:ascii="Times New Roman" w:hAnsi="Times New Roman"/>
          <w:b/>
          <w:i w:val="false"/>
          <w:color w:val="000000"/>
          <w:sz w:val="22"/>
        </w:rPr>
        <w:t xml:space="preserve">(17A,89)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the board deems the waiver to be inconsistent with the public interest.</w:t>
      </w:r>
    </w:p>
    <w:p>
      <w:pPr>
        <w:spacing w:before="210" w:after="0"/>
        <w:ind w:left="120"/>
        <w:jc w:val="both"/>
      </w:pPr>
      <w:r>
        <w:rPr>
          <w:rFonts w:ascii="Times New Roman" w:hAnsi="Times New Roman"/>
          <w:b/>
          <w:i w:val="false"/>
          <w:color w:val="000000"/>
          <w:sz w:val="22"/>
        </w:rPr>
        <w:t>875—84.13</w:t>
      </w:r>
      <w:r>
        <w:rPr>
          <w:rFonts w:ascii="Times New Roman" w:hAnsi="Times New Roman"/>
          <w:b/>
          <w:i w:val="false"/>
          <w:color w:val="000000"/>
          <w:sz w:val="22"/>
        </w:rPr>
        <w:t xml:space="preserve">(17A,89)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Parties shall disclose at or before the prehearing conference if any witness will be testifying by telephone. Any objections shall be filed with the board and served on all parties at least three business days in advance of hearing.</w:t>
      </w:r>
    </w:p>
    <w:p>
      <w:pPr>
        <w:spacing w:before="0" w:after="0"/>
        <w:ind w:left="120"/>
        <w:jc w:val="both"/>
      </w:pPr>
      <w:r>
        <w:rPr>
          <w:rFonts w:ascii="Times New Roman" w:hAnsi="Times New Roman"/>
          <w:b/>
          <w:i w:val="false"/>
          <w:color w:val="000000"/>
          <w:sz w:val="22"/>
        </w:rPr>
        <w:t>875—84.14</w:t>
      </w:r>
      <w:r>
        <w:rPr>
          <w:rFonts w:ascii="Times New Roman" w:hAnsi="Times New Roman"/>
          <w:b/>
          <w:i w:val="false"/>
          <w:color w:val="000000"/>
          <w:sz w:val="22"/>
        </w:rPr>
        <w:t xml:space="preserve">(17A,89)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8">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19">
        <w:r>
          <w:rPr>
            <w:rStyle w:val="Hyperlink"/>
            <w:rFonts w:ascii="Times New Roman" w:hAnsi="Times New Roman"/>
            <w:b w:val="false"/>
            <w:i w:val="false"/>
            <w:color w:val="000000"/>
            <w:sz w:val="22"/>
          </w:rPr>
          <w:t>84.25(7)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0">
        <w:r>
          <w:rPr>
            <w:rStyle w:val="Hyperlink"/>
            <w:rFonts w:ascii="Times New Roman" w:hAnsi="Times New Roman"/>
            <w:b w:val="false"/>
            <w:i w:val="false"/>
            <w:color w:val="000000"/>
            <w:sz w:val="22"/>
          </w:rPr>
          <w:t>84.14(1)</w:t>
        </w:r>
      </w:hyperlink>
      <w:r>
        <w:rPr>
          <w:rFonts w:ascii="Times New Roman" w:hAnsi="Times New Roman"/>
          <w:b w:val="false"/>
          <w:i w:val="false"/>
          <w:color w:val="000000"/>
          <w:sz w:val="22"/>
        </w:rPr>
        <w:t xml:space="preserve">, the party shall file a motion supported by an affidavit pursuant to Iowa Code section </w:t>
      </w:r>
      <w:hyperlink r:id="rId21">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22">
        <w:r>
          <w:rPr>
            <w:rStyle w:val="Hyperlink"/>
            <w:rFonts w:ascii="Times New Roman" w:hAnsi="Times New Roman"/>
            <w:b w:val="false"/>
            <w:i w:val="false"/>
            <w:color w:val="000000"/>
            <w:sz w:val="22"/>
          </w:rPr>
          <w:t>875—84.26</w:t>
        </w:r>
      </w:hyperlink>
      <w:r>
        <w:rPr>
          <w:rFonts w:ascii="Times New Roman" w:hAnsi="Times New Roman"/>
          <w:b w:val="false"/>
          <w:i w:val="false"/>
          <w:color w:val="000000"/>
          <w:sz w:val="22"/>
        </w:rPr>
        <w:t xml:space="preserve">(17A,89) and seek a stay under rule </w:t>
      </w:r>
      <w:hyperlink r:id="rId23">
        <w:r>
          <w:rPr>
            <w:rStyle w:val="Hyperlink"/>
            <w:rFonts w:ascii="Times New Roman" w:hAnsi="Times New Roman"/>
            <w:b w:val="false"/>
            <w:i w:val="false"/>
            <w:color w:val="000000"/>
            <w:sz w:val="22"/>
          </w:rPr>
          <w:t>875—84.30</w:t>
        </w:r>
      </w:hyperlink>
      <w:r>
        <w:rPr>
          <w:rFonts w:ascii="Times New Roman" w:hAnsi="Times New Roman"/>
          <w:b w:val="false"/>
          <w:i w:val="false"/>
          <w:color w:val="000000"/>
          <w:sz w:val="22"/>
        </w:rPr>
        <w:t>(17A,89).</w:t>
      </w:r>
    </w:p>
    <w:p>
      <w:pPr>
        <w:spacing w:before="0" w:after="0"/>
        <w:ind w:left="120"/>
        <w:jc w:val="both"/>
      </w:pPr>
      <w:r>
        <w:rPr>
          <w:rFonts w:ascii="Times New Roman" w:hAnsi="Times New Roman"/>
          <w:b/>
          <w:i w:val="false"/>
          <w:color w:val="000000"/>
          <w:sz w:val="22"/>
        </w:rPr>
        <w:t>875—84.15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875—84.16</w:t>
      </w:r>
      <w:r>
        <w:rPr>
          <w:rFonts w:ascii="Times New Roman" w:hAnsi="Times New Roman"/>
          <w:b/>
          <w:i w:val="false"/>
          <w:color w:val="000000"/>
          <w:sz w:val="22"/>
        </w:rPr>
        <w:t xml:space="preserve">(17A,89)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with the opposing party the discovery issues involved. Motions in regard to discovery shall be ruled upon by the presiding officer. Opposing parties shall be afforded the opportunity to respond within ten days of the filing of the motion unless the time is shortened by order of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i w:val="false"/>
          <w:color w:val="000000"/>
          <w:sz w:val="22"/>
        </w:rPr>
        <w:t>875—84.17</w:t>
      </w:r>
      <w:r>
        <w:rPr>
          <w:rFonts w:ascii="Times New Roman" w:hAnsi="Times New Roman"/>
          <w:b/>
          <w:i w:val="false"/>
          <w:color w:val="000000"/>
          <w:sz w:val="22"/>
        </w:rPr>
        <w:t xml:space="preserve">(17A,89)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25">
        <w:r>
          <w:rPr>
            <w:rStyle w:val="Hyperlink"/>
            <w:rFonts w:ascii="Times New Roman" w:hAnsi="Times New Roman"/>
            <w:b w:val="false"/>
            <w:i w:val="false"/>
            <w:color w:val="000000"/>
            <w:sz w:val="22"/>
          </w:rPr>
          <w:t>17A.13, subsection 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which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84.17(1)</w:t>
      </w:r>
      <w:r>
        <w:rPr>
          <w:rFonts w:ascii="Times New Roman" w:hAnsi="Times New Roman"/>
          <w:b w:val="false"/>
          <w:i w:val="false"/>
          <w:color w:val="000000"/>
          <w:sz w:val="22"/>
        </w:rPr>
        <w:t> </w:t>
      </w:r>
      <w:r>
        <w:rPr>
          <w:rFonts w:ascii="Times New Roman" w:hAnsi="Times New Roman"/>
          <w:b w:val="false"/>
          <w:i w:val="false"/>
          <w:color w:val="000000"/>
          <w:sz w:val="22"/>
        </w:rPr>
        <w:t>Upon the written request of a party, the presiding officer shall issue a subpoena to compel the attendance of witnesses or to obtain evidence which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mail or otherwise provide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84.17(7)</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875—84.18</w:t>
      </w:r>
      <w:r>
        <w:rPr>
          <w:rFonts w:ascii="Times New Roman" w:hAnsi="Times New Roman"/>
          <w:b/>
          <w:i w:val="false"/>
          <w:color w:val="000000"/>
          <w:sz w:val="22"/>
        </w:rPr>
        <w:t xml:space="preserve">(17A,89)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 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26">
        <w:r>
          <w:rPr>
            <w:rStyle w:val="Hyperlink"/>
            <w:rFonts w:ascii="Times New Roman" w:hAnsi="Times New Roman"/>
            <w:b w:val="false"/>
            <w:i w:val="false"/>
            <w:color w:val="000000"/>
            <w:sz w:val="22"/>
          </w:rPr>
          <w:t>875—84.29(17A,89)</w:t>
        </w:r>
      </w:hyperlink>
      <w:r>
        <w:rPr>
          <w:rFonts w:ascii="Times New Roman" w:hAnsi="Times New Roman"/>
          <w:b w:val="false"/>
          <w:i w:val="false"/>
          <w:color w:val="000000"/>
          <w:sz w:val="22"/>
        </w:rPr>
        <w:t xml:space="preserve"> and appeal pursuant to subrule </w:t>
      </w:r>
      <w:hyperlink r:id="rId27">
        <w:r>
          <w:rPr>
            <w:rStyle w:val="Hyperlink"/>
            <w:rFonts w:ascii="Times New Roman" w:hAnsi="Times New Roman"/>
            <w:b w:val="false"/>
            <w:i w:val="false"/>
            <w:color w:val="000000"/>
            <w:sz w:val="22"/>
          </w:rPr>
          <w:t>84.27(3)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875—84.19</w:t>
      </w:r>
      <w:r>
        <w:rPr>
          <w:rFonts w:ascii="Times New Roman" w:hAnsi="Times New Roman"/>
          <w:b/>
          <w:i w:val="false"/>
          <w:color w:val="000000"/>
          <w:sz w:val="22"/>
        </w:rPr>
        <w:t xml:space="preserve">(17A,89) </w:t>
      </w:r>
      <w:r>
        <w:rPr>
          <w:rFonts w:ascii="Times New Roman" w:hAnsi="Times New Roman"/>
          <w:b/>
          <w:i w:val="false"/>
          <w:color w:val="000000"/>
          <w:sz w:val="22"/>
        </w:rPr>
        <w:t xml:space="preserve">Settlements. </w:t>
      </w:r>
      <w:r>
        <w:rPr>
          <w:rFonts w:ascii="Times New Roman" w:hAnsi="Times New Roman"/>
          <w:b w:val="false"/>
          <w:i w:val="false"/>
          <w:color w:val="000000"/>
          <w:sz w:val="22"/>
        </w:rPr>
        <w:t>A contested case may be resolved by informal settlement, and settlements are encouraged. Settlement negotiations may be initiated at any stage of a contested case by any party. The board shall not be involved in negotiation until a written proposed settlement is submitted for approval, unless the parties waive this prohibition.</w:t>
      </w:r>
    </w:p>
    <w:p>
      <w:pPr>
        <w:spacing w:before="0" w:after="0"/>
        <w:ind w:left="120"/>
        <w:jc w:val="both"/>
      </w:pPr>
      <w:r>
        <w:rPr>
          <w:rFonts w:ascii="Times New Roman" w:hAnsi="Times New Roman"/>
          <w:b/>
          <w:i w:val="false"/>
          <w:color w:val="000000"/>
          <w:sz w:val="22"/>
        </w:rPr>
        <w:t>875—84.20</w:t>
      </w:r>
      <w:r>
        <w:rPr>
          <w:rFonts w:ascii="Times New Roman" w:hAnsi="Times New Roman"/>
          <w:b/>
          <w:i w:val="false"/>
          <w:color w:val="000000"/>
          <w:sz w:val="22"/>
        </w:rPr>
        <w:t xml:space="preserve">(17A,89)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8">
        <w:r>
          <w:rPr>
            <w:rStyle w:val="Hyperlink"/>
            <w:rFonts w:ascii="Times New Roman" w:hAnsi="Times New Roman"/>
            <w:b w:val="false"/>
            <w:i w:val="false"/>
            <w:color w:val="000000"/>
            <w:sz w:val="22"/>
          </w:rPr>
          <w:t>84.20(2)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84.20(4)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875—84.21</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875—84.22</w:t>
      </w:r>
      <w:r>
        <w:rPr>
          <w:rFonts w:ascii="Times New Roman" w:hAnsi="Times New Roman"/>
          <w:b/>
          <w:i w:val="false"/>
          <w:color w:val="000000"/>
          <w:sz w:val="22"/>
        </w:rPr>
        <w:t xml:space="preserve">(17A,89)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shall be with prejudice.</w:t>
      </w:r>
    </w:p>
    <w:p>
      <w:pPr>
        <w:spacing w:before="0" w:after="0"/>
        <w:ind w:left="120"/>
        <w:jc w:val="both"/>
      </w:pPr>
      <w:r>
        <w:rPr>
          <w:rFonts w:ascii="Times New Roman" w:hAnsi="Times New Roman"/>
          <w:b/>
          <w:i w:val="false"/>
          <w:color w:val="000000"/>
          <w:sz w:val="22"/>
        </w:rPr>
        <w:t>875—84.23</w:t>
      </w:r>
      <w:r>
        <w:rPr>
          <w:rFonts w:ascii="Times New Roman" w:hAnsi="Times New Roman"/>
          <w:b/>
          <w:i w:val="false"/>
          <w:color w:val="000000"/>
          <w:sz w:val="22"/>
        </w:rPr>
        <w:t xml:space="preserve">(17A,89)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84.23(9)</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84.23(10)</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shall be made at the request of either party at the expense of the party making the request. The parties may agree to divide the cost of the transcription. A record of the proceedings, which may be either the original recording, a copy, or a transcript, shall be retained by the board for five years after the resolution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continuance was granted and a party fails to appear or participate in a contested case proceeding after proper service of notice, the presiding officer may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hyperlink r:id="rId29">
        <w:r>
          <w:rPr>
            <w:rStyle w:val="Hyperlink"/>
            <w:rFonts w:ascii="Times New Roman" w:hAnsi="Times New Roman"/>
            <w:b w:val="false"/>
            <w:i w:val="false"/>
            <w:color w:val="000000"/>
            <w:sz w:val="22"/>
          </w:rPr>
          <w:t>84.27(3)</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attached, sworn affidavit of a person with personal knowledge of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875—84.24</w:t>
      </w:r>
      <w:r>
        <w:rPr>
          <w:rFonts w:ascii="Times New Roman" w:hAnsi="Times New Roman"/>
          <w:b/>
          <w:i w:val="false"/>
          <w:color w:val="000000"/>
          <w:sz w:val="22"/>
        </w:rPr>
        <w:t xml:space="preserve">(17A,89)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contested issues as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875—84.25</w:t>
      </w:r>
      <w:r>
        <w:rPr>
          <w:rFonts w:ascii="Times New Roman" w:hAnsi="Times New Roman"/>
          <w:b/>
          <w:i w:val="false"/>
          <w:color w:val="000000"/>
          <w:sz w:val="22"/>
        </w:rPr>
        <w:t xml:space="preserve">(17A,89)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84.25(6)</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the following shall be submitted for inclusion in the record under each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prohibited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written responses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stating the substance of any prohibited oral or other communication not available in written form and all responses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from whom the presiding officer received a prohibited ex parte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0">
        <w:r>
          <w:rPr>
            <w:rStyle w:val="Hyperlink"/>
            <w:rFonts w:ascii="Times New Roman" w:hAnsi="Times New Roman"/>
            <w:b w:val="false"/>
            <w:i w:val="false"/>
            <w:color w:val="000000"/>
            <w:sz w:val="22"/>
          </w:rPr>
          <w:t>17A.13, subsection 2</w:t>
        </w:r>
      </w:hyperlink>
      <w:r>
        <w:rPr>
          <w:rFonts w:ascii="Times New Roman" w:hAnsi="Times New Roman"/>
          <w:b w:val="false"/>
          <w:i w:val="false"/>
          <w:color w:val="000000"/>
          <w:sz w:val="22"/>
        </w:rPr>
        <w:t>,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shall be reported to the board and to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875—84.26</w:t>
      </w:r>
      <w:r>
        <w:rPr>
          <w:rFonts w:ascii="Times New Roman" w:hAnsi="Times New Roman"/>
          <w:b/>
          <w:i w:val="false"/>
          <w:color w:val="000000"/>
          <w:sz w:val="22"/>
        </w:rPr>
        <w:t xml:space="preserve">(17A,89)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administrative law judge, such as a ruling on a motion to quash a subpoena or other prehearing motion. In determining whether to do so, the board shall weigh the extent to which its granting the interlocutory appeal would expedite final resolution of the case and the extent to which review of the interlocutory order at the time of the issuance of a final decision would provide an adequate remedy. Any request for interlocutory review must be filed within 14 days of issuance of the challenged order, but no later than the date for compliance with the order or the date of hearing, whichever is earlier.</w:t>
      </w:r>
    </w:p>
    <w:p>
      <w:pPr>
        <w:spacing w:before="0" w:after="0"/>
        <w:ind w:left="120"/>
        <w:jc w:val="both"/>
      </w:pPr>
      <w:r>
        <w:rPr>
          <w:rFonts w:ascii="Times New Roman" w:hAnsi="Times New Roman"/>
          <w:b/>
          <w:i w:val="false"/>
          <w:color w:val="000000"/>
          <w:sz w:val="22"/>
        </w:rPr>
        <w:t>875—84.27</w:t>
      </w:r>
      <w:r>
        <w:rPr>
          <w:rFonts w:ascii="Times New Roman" w:hAnsi="Times New Roman"/>
          <w:b/>
          <w:i w:val="false"/>
          <w:color w:val="000000"/>
          <w:sz w:val="22"/>
        </w:rPr>
        <w:t xml:space="preserve">(17A,89)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84.27(1)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84.27(3)</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shall be the entire record made before the hearing panel or administrative law judge.</w:t>
      </w:r>
    </w:p>
    <w:p>
      <w:pPr>
        <w:spacing w:before="210" w:after="0"/>
        <w:ind w:left="120"/>
        <w:jc w:val="both"/>
      </w:pPr>
      <w:r>
        <w:rPr>
          <w:rFonts w:ascii="Times New Roman" w:hAnsi="Times New Roman"/>
          <w:b/>
          <w:i w:val="false"/>
          <w:color w:val="000000"/>
          <w:sz w:val="22"/>
        </w:rPr>
        <w:t>875—84.28</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Contested cases with no factual disputes.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875—84.29</w:t>
      </w:r>
      <w:r>
        <w:rPr>
          <w:rFonts w:ascii="Times New Roman" w:hAnsi="Times New Roman"/>
          <w:b/>
          <w:i w:val="false"/>
          <w:color w:val="000000"/>
          <w:sz w:val="22"/>
        </w:rPr>
        <w:t xml:space="preserve">(17A,89)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The board may meet telephonically to consider an application for rehearing. Any application for a rehearing shall be deemed denied unless the board grants the application within 20 days after its filing.</w:t>
      </w:r>
    </w:p>
    <w:p>
      <w:pPr>
        <w:spacing w:before="0" w:after="0"/>
        <w:ind w:left="120"/>
        <w:jc w:val="both"/>
      </w:pPr>
      <w:r>
        <w:rPr>
          <w:rFonts w:ascii="Times New Roman" w:hAnsi="Times New Roman"/>
          <w:b/>
          <w:i w:val="false"/>
          <w:color w:val="000000"/>
          <w:sz w:val="22"/>
        </w:rPr>
        <w:t>875—84.30</w:t>
      </w:r>
      <w:r>
        <w:rPr>
          <w:rFonts w:ascii="Times New Roman" w:hAnsi="Times New Roman"/>
          <w:b/>
          <w:i w:val="false"/>
          <w:color w:val="000000"/>
          <w:sz w:val="22"/>
        </w:rPr>
        <w:t xml:space="preserve">(17A,89)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shall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Iowa Code section </w:t>
      </w:r>
      <w:hyperlink r:id="rId31">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ind w:left="120"/>
        <w:jc w:val="both"/>
      </w:pPr>
      <w:r>
        <w:rPr>
          <w:rFonts w:ascii="Times New Roman" w:hAnsi="Times New Roman"/>
          <w:b/>
          <w:i w:val="false"/>
          <w:color w:val="000000"/>
          <w:sz w:val="22"/>
        </w:rPr>
        <w:t>875—84.31</w:t>
      </w:r>
      <w:r>
        <w:rPr>
          <w:rFonts w:ascii="Times New Roman" w:hAnsi="Times New Roman"/>
          <w:b/>
          <w:i w:val="false"/>
          <w:color w:val="000000"/>
          <w:sz w:val="22"/>
        </w:rPr>
        <w:t xml:space="preserve">(17A,89)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33">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if a party does not file a timely application for rehearing, a judicial review petition must be filed with the district court within 30 days after the issuance of the board’s final decision. The board’s final decision is deemed issued on the date it is mailed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does file a timely application for rehearing, a judicial review petition must be filed with the district court within 30 days after the application for rehearing is denied or deemed denied. An application for rehearing is denied or deemed denied as provided in subrule </w:t>
      </w:r>
      <w:hyperlink r:id="rId34">
        <w:r>
          <w:rPr>
            <w:rStyle w:val="Hyperlink"/>
            <w:rFonts w:ascii="Times New Roman" w:hAnsi="Times New Roman"/>
            <w:b w:val="false"/>
            <w:i w:val="false"/>
            <w:color w:val="000000"/>
            <w:sz w:val="22"/>
          </w:rPr>
          <w:t>84.29(5)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14.pdf" Type="http://schemas.openxmlformats.org/officeDocument/2006/relationships/hyperlink" Id="rId5"/>
    <Relationship TargetMode="External" Target="http://iowaboilers.gov" Type="http://schemas.openxmlformats.org/officeDocument/2006/relationships/hyperlink" Id="rId6"/>
    <Relationship TargetMode="External" Target="https://www.legis.iowa.gov/docs/iac/chapter/875.81.pdf" Type="http://schemas.openxmlformats.org/officeDocument/2006/relationships/hyperlink" Id="rId7"/>
    <Relationship TargetMode="External" Target="http://iowaboilers.gov"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875.84.4.pdf" Type="http://schemas.openxmlformats.org/officeDocument/2006/relationships/hyperlink" Id="rId10"/>
    <Relationship TargetMode="External" Target="https://www.legis.iowa.gov/docs/iac/rule/875.84.31.pdf" Type="http://schemas.openxmlformats.org/officeDocument/2006/relationships/hyperlink" Id="rId11"/>
    <Relationship TargetMode="External" Target="https://www.legis.iowa.gov/docs/iac/rule/875.84.9.pdf" Type="http://schemas.openxmlformats.org/officeDocument/2006/relationships/hyperlink" Id="rId12"/>
    <Relationship TargetMode="External" Target="https://www.legis.iowa.gov/docs/iac/rule/875.84.26.pdf" Type="http://schemas.openxmlformats.org/officeDocument/2006/relationships/hyperlink" Id="rId13"/>
    <Relationship TargetMode="External" Target="https://www.legis.iowa.gov/docs/iac/rule/875.84.27.pdf" Type="http://schemas.openxmlformats.org/officeDocument/2006/relationships/hyperlink" Id="rId14"/>
    <Relationship TargetMode="External" Target="https://www.legis.iowa.gov/docs/ico/chapter/17A.16.pdf" Type="http://schemas.openxmlformats.org/officeDocument/2006/relationships/hyperlink" Id="rId15"/>
    <Relationship TargetMode="External" Target="https://www.legis.iowa.gov/docs/iac/rule/875.80.5.pdf" Type="http://schemas.openxmlformats.org/officeDocument/2006/relationships/hyperlink" Id="rId16"/>
    <Relationship TargetMode="External" Target="https://www.legis.iowa.gov/docs/ico/chapter/4.1.pdf" Type="http://schemas.openxmlformats.org/officeDocument/2006/relationships/hyperlink" Id="rId17"/>
    <Relationship TargetMode="External" Target="https://www.legis.iowa.gov/docs/ico/chapter/17A.17.pdf" Type="http://schemas.openxmlformats.org/officeDocument/2006/relationships/hyperlink" Id="rId18"/>
    <Relationship TargetMode="External" Target="https://www.legis.iowa.gov/docs/iac/rule/875.84.25.pdf" Type="http://schemas.openxmlformats.org/officeDocument/2006/relationships/hyperlink" Id="rId19"/>
    <Relationship TargetMode="External" Target="https://www.legis.iowa.gov/docs/iac/rule/875.84.14.pdf" Type="http://schemas.openxmlformats.org/officeDocument/2006/relationships/hyperlink" Id="rId20"/>
    <Relationship TargetMode="External" Target="https://www.legis.iowa.gov/docs/ico/chapter/17A.17.pdf" Type="http://schemas.openxmlformats.org/officeDocument/2006/relationships/hyperlink" Id="rId21"/>
    <Relationship TargetMode="External" Target="https://www.legis.iowa.gov/docs/iac/rule/875.84.26.pdf" Type="http://schemas.openxmlformats.org/officeDocument/2006/relationships/hyperlink" Id="rId22"/>
    <Relationship TargetMode="External" Target="https://www.legis.iowa.gov/docs/iac/rule/875.84.30.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13.pdf" Type="http://schemas.openxmlformats.org/officeDocument/2006/relationships/hyperlink" Id="rId25"/>
    <Relationship TargetMode="External" Target="https://www.legis.iowa.gov/docs/iac/rule/875.84.29.pdf" Type="http://schemas.openxmlformats.org/officeDocument/2006/relationships/hyperlink" Id="rId26"/>
    <Relationship TargetMode="External" Target="https://www.legis.iowa.gov/docs/iac/rule/875.84.27.pdf" Type="http://schemas.openxmlformats.org/officeDocument/2006/relationships/hyperlink" Id="rId27"/>
    <Relationship TargetMode="External" Target="https://www.legis.iowa.gov/docs/iac/rule/875.84.20.pdf" Type="http://schemas.openxmlformats.org/officeDocument/2006/relationships/hyperlink" Id="rId28"/>
    <Relationship TargetMode="External" Target="https://www.legis.iowa.gov/docs/iac/rule/875.84.27.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co/chapter/17A.19.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17A.19.pdf" Type="http://schemas.openxmlformats.org/officeDocument/2006/relationships/hyperlink" Id="rId33"/>
    <Relationship TargetMode="External" Target="https://www.legis.iowa.gov/docs/iac/rule/875.84.29.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89.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