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DECLARATORY ORDERS BY THE BOILER AND PRESSURE VESSEL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875—83.1</w:t>
      </w:r>
      <w:r>
        <w:rPr>
          <w:rFonts w:ascii="Times New Roman" w:hAnsi="Times New Roman"/>
          <w:b/>
          <w:i w:val="false"/>
          <w:color w:val="000000"/>
          <w:sz w:val="22"/>
        </w:rPr>
        <w:t xml:space="preserve">(17A,89)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at the board office a petition with the board for a declaratory order as to the applicability to specified circumstances of a statute, rule, or order within the primary jurisdiction of the board. A petition is deemed filed when it is received by that office. The board shall provide the petitioner with a file-stamped copy of the petition if the petitioner provides the board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form for a petition for declaratory order is available on the board’s website at </w:t>
      </w:r>
      <w:hyperlink r:id="rId5">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The petition must be in writing and provide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questions the petitioner wants the board to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directed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875—83.2</w:t>
      </w:r>
      <w:r>
        <w:rPr>
          <w:rFonts w:ascii="Times New Roman" w:hAnsi="Times New Roman"/>
          <w:b/>
          <w:i w:val="false"/>
          <w:color w:val="000000"/>
          <w:sz w:val="22"/>
        </w:rPr>
        <w:t xml:space="preserve">(17A,89)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shall give notice of the petition to all persons not served by the petitioner pursuant to rule </w:t>
      </w:r>
      <w:hyperlink r:id="rId6">
        <w:r>
          <w:rPr>
            <w:rStyle w:val="Hyperlink"/>
            <w:rFonts w:ascii="Times New Roman" w:hAnsi="Times New Roman"/>
            <w:b w:val="false"/>
            <w:i w:val="false"/>
            <w:color w:val="000000"/>
            <w:sz w:val="22"/>
          </w:rPr>
          <w:t>875—83.6(17A,89)</w:t>
        </w:r>
      </w:hyperlink>
      <w:r>
        <w:rPr>
          <w:rFonts w:ascii="Times New Roman" w:hAnsi="Times New Roman"/>
          <w:b w:val="false"/>
          <w:i w:val="false"/>
          <w:color w:val="000000"/>
          <w:sz w:val="22"/>
        </w:rPr>
        <w:t xml:space="preserve"> to whom notice is required by any provision of law. The board may also give notice to any other persons.</w:t>
      </w:r>
    </w:p>
    <w:p>
      <w:pPr>
        <w:spacing w:before="0" w:after="0"/>
        <w:ind w:left="120"/>
        <w:jc w:val="both"/>
      </w:pPr>
      <w:r>
        <w:rPr>
          <w:rFonts w:ascii="Times New Roman" w:hAnsi="Times New Roman"/>
          <w:b/>
          <w:i w:val="false"/>
          <w:color w:val="000000"/>
          <w:sz w:val="22"/>
        </w:rPr>
        <w:t>875—83.3</w:t>
      </w:r>
      <w:r>
        <w:rPr>
          <w:rFonts w:ascii="Times New Roman" w:hAnsi="Times New Roman"/>
          <w:b/>
          <w:i w:val="false"/>
          <w:color w:val="000000"/>
          <w:sz w:val="22"/>
        </w:rPr>
        <w:t xml:space="preserve">(17A,89)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val="false"/>
          <w:color w:val="000000"/>
          <w:sz w:val="22"/>
        </w:rPr>
        <w:t>A person who qualifies under any applicable provision of law as an intervenor and who files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a person who qualifies under any applicable provision of law as an intervenor and who files a petition for intervention more than 20 days after the filing of a petition for declaratory order but prior to the issuance of an order may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the board office. Such a petition is deemed filed when it is received by that office. The board will provide the petitioner with a file-stamped copy of the petition for intervention if the petitioner provides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must be in writing and provide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875—83.4</w:t>
      </w:r>
      <w:r>
        <w:rPr>
          <w:rFonts w:ascii="Times New Roman" w:hAnsi="Times New Roman"/>
          <w:b/>
          <w:i w:val="false"/>
          <w:color w:val="000000"/>
          <w:sz w:val="22"/>
        </w:rPr>
        <w:t xml:space="preserve">(17A,89)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intervenor may file a brief in support of the position urged. The board may request a brief from the petitioner, any intervenor, or any other person concerning the questions raised in the petition.</w:t>
      </w:r>
    </w:p>
    <w:p>
      <w:pPr>
        <w:spacing w:before="0" w:after="0"/>
        <w:ind w:left="120"/>
        <w:jc w:val="both"/>
      </w:pPr>
      <w:r>
        <w:rPr>
          <w:rFonts w:ascii="Times New Roman" w:hAnsi="Times New Roman"/>
          <w:b/>
          <w:i w:val="false"/>
          <w:color w:val="000000"/>
          <w:sz w:val="22"/>
        </w:rPr>
        <w:t>875—83.5</w:t>
      </w:r>
      <w:r>
        <w:rPr>
          <w:rFonts w:ascii="Times New Roman" w:hAnsi="Times New Roman"/>
          <w:b/>
          <w:i w:val="false"/>
          <w:color w:val="000000"/>
          <w:sz w:val="22"/>
        </w:rPr>
        <w:t xml:space="preserve">(17A,89)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may be made to the Boiler and Pressure Vessel Board, Division of Labor Services,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875—83.6</w:t>
      </w:r>
      <w:r>
        <w:rPr>
          <w:rFonts w:ascii="Times New Roman" w:hAnsi="Times New Roman"/>
          <w:b/>
          <w:i w:val="false"/>
          <w:color w:val="000000"/>
          <w:sz w:val="22"/>
        </w:rPr>
        <w:t xml:space="preserve">(17A,89)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board at the board office.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rules </w:t>
      </w:r>
      <w:hyperlink r:id="rId7">
        <w:r>
          <w:rPr>
            <w:rStyle w:val="Hyperlink"/>
            <w:rFonts w:ascii="Times New Roman" w:hAnsi="Times New Roman"/>
            <w:b w:val="false"/>
            <w:i w:val="false"/>
            <w:color w:val="000000"/>
            <w:sz w:val="22"/>
          </w:rPr>
          <w:t>875—84.10(17A,89)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875—84.11(17A,89)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875—83.7</w:t>
      </w:r>
      <w:r>
        <w:rPr>
          <w:rFonts w:ascii="Times New Roman" w:hAnsi="Times New Roman"/>
          <w:b/>
          <w:i w:val="false"/>
          <w:color w:val="000000"/>
          <w:sz w:val="22"/>
        </w:rPr>
        <w:t xml:space="preserve">(17A,89) </w:t>
      </w:r>
      <w:r>
        <w:rPr>
          <w:rFonts w:ascii="Times New Roman" w:hAnsi="Times New Roman"/>
          <w:b/>
          <w:i w:val="false"/>
          <w:color w:val="000000"/>
          <w:sz w:val="22"/>
        </w:rPr>
        <w:t xml:space="preserve">Board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83.7(1)</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a petition for a declaratory order, the board shall issue a document that does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Declares the applicability of the statute, rule or order to the specified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Sets the matter for specific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Agrees to issue a declaratory order by a specified time,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Declines to issue a declaratory order and sets forth the reasons for its actions as provided in subrule 83.9(1).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83.7(2)</w:t>
      </w:r>
      <w:r>
        <w:rPr>
          <w:rFonts w:ascii="Times New Roman" w:hAnsi="Times New Roman"/>
          <w:b w:val="false"/>
          <w:i w:val="false"/>
          <w:color w:val="000000"/>
          <w:sz w:val="22"/>
        </w:rPr>
        <w:t> </w:t>
      </w:r>
      <w:r>
        <w:rPr>
          <w:rFonts w:ascii="Times New Roman" w:hAnsi="Times New Roman"/>
          <w:b w:val="false"/>
          <w:i w:val="false"/>
          <w:color w:val="000000"/>
          <w:sz w:val="22"/>
        </w:rPr>
        <w:t>The board may request that the petitioner submit additional information or argument concerning the petition. The board may also solicit comments on the substance of the petition from any person. Also, comments on the substance of the petition may be submitted to the board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83.7(3)</w:t>
      </w:r>
      <w:r>
        <w:rPr>
          <w:rFonts w:ascii="Times New Roman" w:hAnsi="Times New Roman"/>
          <w:b w:val="false"/>
          <w:i w:val="false"/>
          <w:color w:val="000000"/>
          <w:sz w:val="22"/>
        </w:rPr>
        <w:t> </w:t>
      </w:r>
      <w:r>
        <w:rPr>
          <w:rFonts w:ascii="Times New Roman" w:hAnsi="Times New Roman"/>
          <w:b w:val="false"/>
          <w:i w:val="false"/>
          <w:color w:val="000000"/>
          <w:sz w:val="22"/>
        </w:rPr>
        <w:t>The petitioner and all intervenors shall be provided a reasonable opportunity to make a presentation to the board. The length of time allotted for presentation shall be reasonable in light of the complexity and number of issues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875—83.8</w:t>
      </w:r>
      <w:r>
        <w:rPr>
          <w:rFonts w:ascii="Times New Roman" w:hAnsi="Times New Roman"/>
          <w:b/>
          <w:i w:val="false"/>
          <w:color w:val="000000"/>
          <w:sz w:val="22"/>
        </w:rPr>
        <w:t xml:space="preserve">(17A,89) </w:t>
      </w:r>
      <w:r>
        <w:rPr>
          <w:rFonts w:ascii="Times New Roman" w:hAnsi="Times New Roman"/>
          <w:b/>
          <w:i w:val="false"/>
          <w:color w:val="000000"/>
          <w:sz w:val="22"/>
        </w:rPr>
        <w:t xml:space="preserve">Action on petition.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9/22/10</w:t>
      </w:r>
      <w:r>
        <w:rPr>
          <w:rFonts w:ascii="Times New Roman" w:hAnsi="Times New Roman"/>
          <w:b w:val="false"/>
          <w:i w:val="false"/>
          <w:color w:val="000000"/>
          <w:sz w:val="22"/>
        </w:rPr>
        <w:t>, effective 10/27/10.</w:t>
      </w:r>
    </w:p>
    <w:p>
      <w:pPr>
        <w:spacing w:before="0" w:after="0"/>
        <w:ind w:left="120"/>
        <w:jc w:val="both"/>
      </w:pPr>
      <w:r>
        <w:rPr>
          <w:rFonts w:ascii="Times New Roman" w:hAnsi="Times New Roman"/>
          <w:b/>
          <w:i w:val="false"/>
          <w:color w:val="000000"/>
          <w:sz w:val="22"/>
        </w:rPr>
        <w:t>875—83.9</w:t>
      </w:r>
      <w:r>
        <w:rPr>
          <w:rFonts w:ascii="Times New Roman" w:hAnsi="Times New Roman"/>
          <w:b/>
          <w:i w:val="false"/>
          <w:color w:val="000000"/>
          <w:sz w:val="22"/>
        </w:rPr>
        <w:t xml:space="preserve">(17A,89)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9">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provide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9/22/10</w:t>
      </w:r>
      <w:r>
        <w:rPr>
          <w:rFonts w:ascii="Times New Roman" w:hAnsi="Times New Roman"/>
          <w:b w:val="false"/>
          <w:i w:val="false"/>
          <w:color w:val="000000"/>
          <w:sz w:val="22"/>
        </w:rPr>
        <w:t>, effective 10/27/10.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board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board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875—83.10</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ruling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210" w:after="0"/>
        <w:ind w:left="120"/>
        <w:jc w:val="both"/>
      </w:pPr>
      <w:r>
        <w:rPr>
          <w:rFonts w:ascii="Times New Roman" w:hAnsi="Times New Roman"/>
          <w:b/>
          <w:i w:val="false"/>
          <w:color w:val="000000"/>
          <w:sz w:val="22"/>
        </w:rPr>
        <w:t>875—83.11</w:t>
      </w:r>
      <w:r>
        <w:rPr>
          <w:rFonts w:ascii="Times New Roman" w:hAnsi="Times New Roman"/>
          <w:b/>
          <w:i w:val="false"/>
          <w:color w:val="000000"/>
          <w:sz w:val="22"/>
        </w:rPr>
        <w:t xml:space="preserve">(17A,89)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875—83.12</w:t>
      </w:r>
      <w:r>
        <w:rPr>
          <w:rFonts w:ascii="Times New Roman" w:hAnsi="Times New Roman"/>
          <w:b/>
          <w:i w:val="false"/>
          <w:color w:val="000000"/>
          <w:sz w:val="22"/>
        </w:rPr>
        <w:t xml:space="preserve">(17A,89)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in a contested case proceeding. It is binding on the board, the petitioner and any intervenors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board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iowaboilers.gov" Type="http://schemas.openxmlformats.org/officeDocument/2006/relationships/hyperlink" Id="rId5"/>
    <Relationship TargetMode="External" Target="https://www.legis.iowa.gov/docs/iac/rule/875.83.6.pdf" Type="http://schemas.openxmlformats.org/officeDocument/2006/relationships/hyperlink" Id="rId6"/>
    <Relationship TargetMode="External" Target="https://www.legis.iowa.gov/docs/iac/rule/875.84.10.pdf" Type="http://schemas.openxmlformats.org/officeDocument/2006/relationships/hyperlink" Id="rId7"/>
    <Relationship TargetMode="External" Target="https://www.legis.iowa.gov/docs/iac/rule/875.84.11.pdf" Type="http://schemas.openxmlformats.org/officeDocument/2006/relationships/hyperlink" Id="rId8"/>
    <Relationship TargetMode="External" Target="https://www.legis.iowa.gov/docs/ico/chapter/17A.9.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8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