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BOILER AND PRESSURE VESSEL BOARD 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875—82.1</w:t>
      </w:r>
      <w:r>
        <w:rPr>
          <w:rFonts w:ascii="Times New Roman" w:hAnsi="Times New Roman"/>
          <w:b/>
          <w:i w:val="false"/>
          <w:color w:val="000000"/>
          <w:sz w:val="22"/>
        </w:rPr>
        <w:t xml:space="preserve">(17A,89) </w:t>
      </w:r>
      <w:r>
        <w:rPr>
          <w:rFonts w:ascii="Times New Roman" w:hAnsi="Times New Roman"/>
          <w:b/>
          <w:i w:val="false"/>
          <w:color w:val="000000"/>
          <w:sz w:val="22"/>
        </w:rPr>
        <w:t xml:space="preserve">Petitions for rule making. </w:t>
      </w:r>
      <w:r>
        <w:rPr>
          <w:rFonts w:ascii="Times New Roman" w:hAnsi="Times New Roman"/>
          <w:b w:val="false"/>
          <w:i w:val="false"/>
          <w:color w:val="000000"/>
          <w:sz w:val="22"/>
        </w:rPr>
        <w:t xml:space="preserve">Any person or agency may file a petition for rule making with the board requesting the adoption, amendment or repeal of a rule. The required form for a petition for rule making is available on the board’s website at </w:t>
      </w:r>
      <w:hyperlink r:id="rId5">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xml:space="preserve">. The petition shall be filed at the location specified in rule </w:t>
      </w:r>
      <w:hyperlink r:id="rId6">
        <w:r>
          <w:rPr>
            <w:rStyle w:val="Hyperlink"/>
            <w:rFonts w:ascii="Times New Roman" w:hAnsi="Times New Roman"/>
            <w:b w:val="false"/>
            <w:i w:val="false"/>
            <w:color w:val="000000"/>
            <w:sz w:val="22"/>
          </w:rPr>
          <w:t>875—80.5(89)</w:t>
        </w:r>
      </w:hyperlink>
      <w:r>
        <w:rPr>
          <w:rFonts w:ascii="Times New Roman" w:hAnsi="Times New Roman"/>
          <w:b w:val="false"/>
          <w:i w:val="false"/>
          <w:color w:val="000000"/>
          <w:sz w:val="22"/>
        </w:rPr>
        <w:t>. A petition is deemed filed when it is received by the board office. The board office shall provide the petitioner with a file-stamped copy of the petition if the petitioner provides the board an extra copy for this purpose. The petition must be in writing and provide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to and the relevant language of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board’s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The petition must also include the name, mailing address, and telephone number of the petitioner and petitioner’s representative, and a statement indicating the person to whom communications concerning the petition should be directed. If desired, the petition should also provide an email address and a statement that email is an acceptable method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petition because it does not provide the required information.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875—82.2</w:t>
      </w:r>
      <w:r>
        <w:rPr>
          <w:rFonts w:ascii="Times New Roman" w:hAnsi="Times New Roman"/>
          <w:b/>
          <w:i w:val="false"/>
          <w:color w:val="000000"/>
          <w:sz w:val="22"/>
        </w:rPr>
        <w:t xml:space="preserve">(17A,89)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board may request a brief from the petitioner or from any other person concerning the substance of the petition.</w:t>
      </w:r>
    </w:p>
    <w:p>
      <w:pPr>
        <w:spacing w:before="0" w:after="0"/>
        <w:ind w:left="120"/>
        <w:jc w:val="both"/>
      </w:pPr>
      <w:r>
        <w:rPr>
          <w:rFonts w:ascii="Times New Roman" w:hAnsi="Times New Roman"/>
          <w:b/>
          <w:i w:val="false"/>
          <w:color w:val="000000"/>
          <w:sz w:val="22"/>
        </w:rPr>
        <w:t>875—82.3</w:t>
      </w:r>
      <w:r>
        <w:rPr>
          <w:rFonts w:ascii="Times New Roman" w:hAnsi="Times New Roman"/>
          <w:b/>
          <w:i w:val="false"/>
          <w:color w:val="000000"/>
          <w:sz w:val="22"/>
        </w:rPr>
        <w:t xml:space="preserve">(17A,89)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Boiler and Pressure Vessel Board, Department of Workforce Development, Division of Labor Services, 150 Des Moines Street,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875—82.4</w:t>
      </w:r>
      <w:r>
        <w:rPr>
          <w:rFonts w:ascii="Times New Roman" w:hAnsi="Times New Roman"/>
          <w:b/>
          <w:i w:val="false"/>
          <w:color w:val="000000"/>
          <w:sz w:val="22"/>
        </w:rPr>
        <w:t xml:space="preserve">(17A,89)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val="false"/>
          <w:color w:val="000000"/>
          <w:sz w:val="22"/>
        </w:rPr>
        <w:t>Unless the board makes other arrangements, petitions for rule making will be reviewed and may be granted or denied at the next scheduled board meeting following receipt of the petition. However, if the petition is received less than three weeks prior to the scheduled board meeting, the petition will be reviewed at the subsequent meeting. The board may request the petitioner to submit additional information or argument concerning the petition. The board may also solicit comments from any person on the substance of the petition. Also,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val="false"/>
          <w:color w:val="000000"/>
          <w:sz w:val="22"/>
        </w:rPr>
        <w:t>The petitioner shall be provided a reasonable opportunity to make a presentation to the board. The length of time allotted for presentation shall be reasonable in light of the complexity and number of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82.4(3)</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board shall deny the petition in writing and notify petitioner of its action and the specific grounds for the denial, or grant the petition and notify petitioner that the board will institute rule-making proceedings on the subject of the petition. Notice shall be sent by the board office to the petitioner by regular mail or email if appropriate. Petitioner shall be deemed notified of the denial or granting of the petition on the date the board office mails the required notification to the petitioner. Copies of the petition and the document granting or denying the petition shall be sent to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82.4(4)</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contain the required information does not preclude the filing of a new petition on the same subject that seeks to eliminate the grounds for the board’s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iowaboilers.gov" Type="http://schemas.openxmlformats.org/officeDocument/2006/relationships/hyperlink" Id="rId5"/>
    <Relationship TargetMode="External" Target="https://www.legis.iowa.gov/docs/iac/rule/875.80.5.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8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